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0" w:firstLineChars="300"/>
        <w:rPr>
          <w:rFonts w:ascii="宋体" w:hAnsi="宋体" w:cs="宋体"/>
          <w:sz w:val="32"/>
          <w:szCs w:val="32"/>
        </w:rPr>
      </w:pPr>
      <w:r>
        <w:rPr>
          <w:rFonts w:hint="eastAsia" w:ascii="宋体" w:hAnsi="宋体" w:cs="宋体"/>
          <w:sz w:val="32"/>
          <w:szCs w:val="32"/>
        </w:rPr>
        <w:t>招标编号：</w:t>
      </w:r>
    </w:p>
    <w:p>
      <w:pPr>
        <w:spacing w:line="360" w:lineRule="auto"/>
        <w:jc w:val="center"/>
        <w:rPr>
          <w:rFonts w:hint="eastAsia" w:ascii="宋体" w:hAnsi="宋体" w:cs="宋体"/>
          <w:b/>
          <w:sz w:val="36"/>
          <w:szCs w:val="36"/>
        </w:rPr>
      </w:pPr>
      <w:r>
        <w:rPr>
          <w:rFonts w:hint="eastAsia" w:ascii="宋体" w:hAnsi="宋体" w:cs="宋体"/>
          <w:b/>
          <w:sz w:val="36"/>
          <w:szCs w:val="36"/>
        </w:rPr>
        <w:t>重庆交通职业</w:t>
      </w:r>
      <w:r>
        <w:rPr>
          <w:rFonts w:hint="eastAsia" w:ascii="宋体" w:hAnsi="宋体" w:cs="宋体"/>
          <w:b/>
          <w:sz w:val="36"/>
          <w:szCs w:val="36"/>
          <w:lang w:val="en-US" w:eastAsia="zh-CN"/>
        </w:rPr>
        <w:t>学院数字造价实训</w:t>
      </w:r>
      <w:r>
        <w:rPr>
          <w:rFonts w:hint="eastAsia" w:ascii="宋体" w:hAnsi="宋体" w:cs="宋体"/>
          <w:b/>
          <w:sz w:val="36"/>
          <w:szCs w:val="36"/>
        </w:rPr>
        <w:t>项目</w:t>
      </w:r>
    </w:p>
    <w:p>
      <w:pPr>
        <w:spacing w:line="360" w:lineRule="auto"/>
        <w:jc w:val="center"/>
        <w:rPr>
          <w:rFonts w:hint="eastAsia" w:ascii="宋体" w:hAnsi="宋体" w:cs="宋体"/>
          <w:b/>
          <w:sz w:val="36"/>
          <w:szCs w:val="36"/>
        </w:rPr>
      </w:pPr>
    </w:p>
    <w:p>
      <w:pPr>
        <w:spacing w:line="360" w:lineRule="auto"/>
        <w:jc w:val="center"/>
        <w:rPr>
          <w:rFonts w:ascii="宋体" w:hAnsi="宋体" w:cs="宋体"/>
          <w:sz w:val="72"/>
          <w:szCs w:val="72"/>
        </w:rPr>
      </w:pPr>
      <w:r>
        <w:rPr>
          <w:rFonts w:hint="eastAsia" w:ascii="宋体" w:hAnsi="宋体" w:cs="宋体"/>
          <w:sz w:val="72"/>
          <w:szCs w:val="72"/>
        </w:rPr>
        <w:t>招</w:t>
      </w:r>
    </w:p>
    <w:p>
      <w:pPr>
        <w:spacing w:line="360" w:lineRule="auto"/>
        <w:jc w:val="center"/>
        <w:rPr>
          <w:rFonts w:ascii="宋体" w:hAnsi="宋体" w:cs="宋体"/>
          <w:sz w:val="72"/>
          <w:szCs w:val="72"/>
        </w:rPr>
      </w:pPr>
      <w:r>
        <w:rPr>
          <w:rFonts w:hint="eastAsia" w:ascii="宋体" w:hAnsi="宋体" w:cs="宋体"/>
          <w:sz w:val="72"/>
          <w:szCs w:val="72"/>
        </w:rPr>
        <w:t>标</w:t>
      </w:r>
    </w:p>
    <w:p>
      <w:pPr>
        <w:spacing w:line="360" w:lineRule="auto"/>
        <w:jc w:val="center"/>
        <w:rPr>
          <w:rFonts w:ascii="宋体" w:hAnsi="宋体" w:cs="宋体"/>
          <w:sz w:val="72"/>
          <w:szCs w:val="72"/>
        </w:rPr>
      </w:pPr>
      <w:r>
        <w:rPr>
          <w:rFonts w:hint="eastAsia" w:ascii="宋体" w:hAnsi="宋体" w:cs="宋体"/>
          <w:sz w:val="72"/>
          <w:szCs w:val="72"/>
        </w:rPr>
        <w:t>文</w:t>
      </w:r>
    </w:p>
    <w:p>
      <w:pPr>
        <w:tabs>
          <w:tab w:val="left" w:pos="3960"/>
        </w:tabs>
        <w:spacing w:line="360" w:lineRule="auto"/>
        <w:jc w:val="center"/>
        <w:rPr>
          <w:rFonts w:ascii="宋体" w:hAnsi="宋体" w:cs="宋体"/>
          <w:sz w:val="72"/>
          <w:szCs w:val="72"/>
        </w:rPr>
      </w:pPr>
      <w:r>
        <w:rPr>
          <w:rFonts w:hint="eastAsia" w:ascii="宋体" w:hAnsi="宋体" w:cs="宋体"/>
          <w:sz w:val="72"/>
          <w:szCs w:val="72"/>
        </w:rPr>
        <w:t>件</w:t>
      </w:r>
    </w:p>
    <w:p>
      <w:pPr>
        <w:tabs>
          <w:tab w:val="left" w:pos="3960"/>
        </w:tabs>
        <w:spacing w:line="360" w:lineRule="auto"/>
        <w:jc w:val="center"/>
        <w:rPr>
          <w:rFonts w:ascii="宋体" w:hAnsi="宋体" w:cs="宋体"/>
          <w:sz w:val="72"/>
          <w:szCs w:val="72"/>
        </w:rPr>
      </w:pPr>
    </w:p>
    <w:p>
      <w:pPr>
        <w:tabs>
          <w:tab w:val="left" w:pos="3960"/>
        </w:tabs>
        <w:spacing w:line="360" w:lineRule="auto"/>
        <w:jc w:val="center"/>
        <w:rPr>
          <w:rFonts w:ascii="宋体" w:hAnsi="宋体" w:cs="宋体"/>
          <w:sz w:val="72"/>
          <w:szCs w:val="72"/>
        </w:rPr>
      </w:pPr>
    </w:p>
    <w:p>
      <w:pPr>
        <w:tabs>
          <w:tab w:val="left" w:pos="3960"/>
        </w:tabs>
        <w:spacing w:line="360" w:lineRule="auto"/>
        <w:jc w:val="center"/>
        <w:rPr>
          <w:rFonts w:ascii="宋体" w:hAnsi="宋体" w:cs="宋体"/>
          <w:sz w:val="72"/>
          <w:szCs w:val="72"/>
        </w:rPr>
      </w:pPr>
    </w:p>
    <w:p>
      <w:pPr>
        <w:spacing w:line="360" w:lineRule="auto"/>
        <w:jc w:val="center"/>
        <w:rPr>
          <w:rFonts w:ascii="宋体" w:hAnsi="宋体" w:cs="宋体"/>
          <w:sz w:val="32"/>
          <w:szCs w:val="32"/>
        </w:rPr>
      </w:pPr>
      <w:r>
        <w:rPr>
          <w:rFonts w:hint="eastAsia" w:ascii="宋体" w:hAnsi="宋体" w:cs="宋体"/>
          <w:sz w:val="30"/>
          <w:szCs w:val="30"/>
        </w:rPr>
        <w:t>重庆交通职业学院编制</w:t>
      </w:r>
      <w:bookmarkStart w:id="0" w:name="_Hlt101843627"/>
      <w:bookmarkEnd w:id="0"/>
      <w:bookmarkStart w:id="1" w:name="_Hlt101233737"/>
      <w:bookmarkEnd w:id="1"/>
      <w:bookmarkStart w:id="2" w:name="_Toc217446030"/>
      <w:bookmarkStart w:id="3" w:name="_Toc183682338"/>
    </w:p>
    <w:p>
      <w:pPr>
        <w:spacing w:line="360" w:lineRule="auto"/>
        <w:jc w:val="center"/>
        <w:rPr>
          <w:rFonts w:hint="default" w:ascii="宋体" w:hAnsi="宋体" w:eastAsia="宋体" w:cs="宋体"/>
          <w:sz w:val="32"/>
          <w:szCs w:val="32"/>
          <w:highlight w:val="none"/>
          <w:lang w:val="en-US" w:eastAsia="zh-CN"/>
        </w:rPr>
      </w:pPr>
      <w:r>
        <w:rPr>
          <w:rFonts w:hint="eastAsia" w:ascii="宋体" w:hAnsi="宋体" w:cs="宋体"/>
          <w:sz w:val="32"/>
          <w:szCs w:val="32"/>
          <w:highlight w:val="none"/>
        </w:rPr>
        <w:t>202</w:t>
      </w:r>
      <w:r>
        <w:rPr>
          <w:rFonts w:hint="eastAsia" w:ascii="宋体" w:hAnsi="宋体" w:cs="宋体"/>
          <w:sz w:val="32"/>
          <w:szCs w:val="32"/>
          <w:highlight w:val="none"/>
          <w:lang w:val="en-US" w:eastAsia="zh-CN"/>
        </w:rPr>
        <w:t>3</w:t>
      </w:r>
      <w:r>
        <w:rPr>
          <w:rFonts w:hint="eastAsia" w:ascii="宋体" w:hAnsi="宋体" w:cs="宋体"/>
          <w:sz w:val="32"/>
          <w:szCs w:val="32"/>
          <w:highlight w:val="none"/>
        </w:rPr>
        <w:t>月</w:t>
      </w:r>
      <w:r>
        <w:rPr>
          <w:rFonts w:hint="eastAsia" w:ascii="宋体" w:hAnsi="宋体" w:cs="宋体"/>
          <w:sz w:val="32"/>
          <w:szCs w:val="32"/>
          <w:highlight w:val="none"/>
          <w:lang w:val="en-US" w:eastAsia="zh-CN"/>
        </w:rPr>
        <w:t>10月</w:t>
      </w:r>
    </w:p>
    <w:p>
      <w:pPr>
        <w:widowControl/>
        <w:jc w:val="left"/>
        <w:rPr>
          <w:rFonts w:ascii="宋体" w:hAnsi="宋体" w:cs="宋体"/>
          <w:b/>
          <w:sz w:val="36"/>
          <w:szCs w:val="32"/>
          <w:highlight w:val="yellow"/>
        </w:rPr>
      </w:pPr>
      <w:r>
        <w:rPr>
          <w:rFonts w:hint="eastAsia" w:ascii="宋体" w:hAnsi="宋体" w:cs="宋体"/>
          <w:bCs/>
          <w:sz w:val="36"/>
          <w:highlight w:val="yellow"/>
        </w:rPr>
        <w:br w:type="page"/>
      </w:r>
    </w:p>
    <w:p>
      <w:pPr>
        <w:pStyle w:val="5"/>
        <w:spacing w:line="360" w:lineRule="exact"/>
        <w:jc w:val="center"/>
        <w:rPr>
          <w:rFonts w:ascii="宋体" w:hAnsi="宋体" w:eastAsia="宋体" w:cs="宋体"/>
          <w:bCs w:val="0"/>
          <w:sz w:val="36"/>
        </w:rPr>
      </w:pPr>
      <w:r>
        <w:rPr>
          <w:rFonts w:hint="eastAsia" w:ascii="宋体" w:hAnsi="宋体" w:eastAsia="宋体" w:cs="宋体"/>
          <w:bCs w:val="0"/>
          <w:sz w:val="36"/>
        </w:rPr>
        <w:t>目    录</w:t>
      </w:r>
    </w:p>
    <w:p>
      <w:pPr>
        <w:rPr>
          <w:rFonts w:ascii="宋体" w:hAnsi="宋体" w:cs="宋体"/>
        </w:rPr>
      </w:pPr>
    </w:p>
    <w:p>
      <w:pPr>
        <w:pStyle w:val="11"/>
        <w:tabs>
          <w:tab w:val="right" w:leader="dot" w:pos="8297"/>
        </w:tabs>
        <w:spacing w:line="480" w:lineRule="auto"/>
        <w:rPr>
          <w:rFonts w:ascii="宋体" w:hAnsi="宋体" w:cs="宋体"/>
          <w:sz w:val="32"/>
          <w:szCs w:val="32"/>
        </w:rPr>
      </w:pPr>
      <w:r>
        <w:rPr>
          <w:rFonts w:hint="eastAsia" w:ascii="宋体" w:hAnsi="宋体" w:cs="宋体"/>
          <w:b/>
          <w:sz w:val="32"/>
          <w:szCs w:val="32"/>
        </w:rPr>
        <w:fldChar w:fldCharType="begin"/>
      </w:r>
      <w:r>
        <w:rPr>
          <w:rFonts w:hint="eastAsia" w:ascii="宋体" w:hAnsi="宋体" w:cs="宋体"/>
          <w:b/>
          <w:sz w:val="32"/>
          <w:szCs w:val="32"/>
        </w:rPr>
        <w:instrText xml:space="preserve">TOC \o "1-1" \h \z \u</w:instrText>
      </w:r>
      <w:r>
        <w:rPr>
          <w:rFonts w:hint="eastAsia" w:ascii="宋体" w:hAnsi="宋体" w:cs="宋体"/>
          <w:b/>
          <w:sz w:val="32"/>
          <w:szCs w:val="32"/>
        </w:rPr>
        <w:fldChar w:fldCharType="separate"/>
      </w:r>
      <w:r>
        <w:fldChar w:fldCharType="begin"/>
      </w:r>
      <w:r>
        <w:instrText xml:space="preserve"> HYPERLINK \l "_Toc375898983" </w:instrText>
      </w:r>
      <w:r>
        <w:fldChar w:fldCharType="separate"/>
      </w:r>
      <w:r>
        <w:rPr>
          <w:rStyle w:val="17"/>
          <w:rFonts w:hint="eastAsia" w:ascii="宋体" w:hAnsi="宋体" w:cs="宋体"/>
          <w:color w:val="auto"/>
          <w:sz w:val="32"/>
          <w:szCs w:val="32"/>
        </w:rPr>
        <w:t>第一章投标邀请</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_Toc375898983 \h </w:instrText>
      </w:r>
      <w:r>
        <w:rPr>
          <w:rFonts w:hint="eastAsia" w:ascii="宋体" w:hAnsi="宋体" w:cs="宋体"/>
          <w:sz w:val="32"/>
          <w:szCs w:val="32"/>
        </w:rPr>
        <w:fldChar w:fldCharType="separate"/>
      </w:r>
      <w:r>
        <w:rPr>
          <w:rFonts w:hint="eastAsia" w:ascii="宋体" w:hAnsi="宋体" w:cs="宋体"/>
          <w:sz w:val="32"/>
          <w:szCs w:val="32"/>
        </w:rPr>
        <w:t>３</w:t>
      </w:r>
      <w:r>
        <w:rPr>
          <w:rFonts w:hint="eastAsia" w:ascii="宋体" w:hAnsi="宋体" w:cs="宋体"/>
          <w:sz w:val="32"/>
          <w:szCs w:val="32"/>
        </w:rPr>
        <w:fldChar w:fldCharType="end"/>
      </w:r>
      <w:r>
        <w:rPr>
          <w:rFonts w:hint="eastAsia" w:ascii="宋体" w:hAnsi="宋体" w:cs="宋体"/>
          <w:sz w:val="32"/>
          <w:szCs w:val="32"/>
        </w:rPr>
        <w:fldChar w:fldCharType="end"/>
      </w:r>
    </w:p>
    <w:p>
      <w:pPr>
        <w:pStyle w:val="11"/>
        <w:tabs>
          <w:tab w:val="right" w:leader="dot" w:pos="8297"/>
        </w:tabs>
        <w:spacing w:line="480" w:lineRule="auto"/>
        <w:rPr>
          <w:rFonts w:ascii="宋体" w:hAnsi="宋体" w:cs="宋体"/>
          <w:sz w:val="32"/>
          <w:szCs w:val="32"/>
        </w:rPr>
      </w:pPr>
      <w:r>
        <w:fldChar w:fldCharType="begin"/>
      </w:r>
      <w:r>
        <w:instrText xml:space="preserve"> HYPERLINK \l "_Toc375898984" </w:instrText>
      </w:r>
      <w:r>
        <w:fldChar w:fldCharType="separate"/>
      </w:r>
      <w:r>
        <w:rPr>
          <w:rStyle w:val="17"/>
          <w:rFonts w:hint="eastAsia" w:ascii="宋体" w:hAnsi="宋体" w:cs="宋体"/>
          <w:color w:val="auto"/>
          <w:sz w:val="32"/>
          <w:szCs w:val="32"/>
        </w:rPr>
        <w:t>第二章投标人须知</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_Toc375898984 \h </w:instrText>
      </w:r>
      <w:r>
        <w:rPr>
          <w:rFonts w:hint="eastAsia" w:ascii="宋体" w:hAnsi="宋体" w:cs="宋体"/>
          <w:sz w:val="32"/>
          <w:szCs w:val="32"/>
        </w:rPr>
        <w:fldChar w:fldCharType="separate"/>
      </w:r>
      <w:r>
        <w:rPr>
          <w:rFonts w:hint="eastAsia" w:ascii="宋体" w:hAnsi="宋体" w:cs="宋体"/>
          <w:sz w:val="32"/>
          <w:szCs w:val="32"/>
        </w:rPr>
        <w:t>5</w:t>
      </w:r>
      <w:r>
        <w:rPr>
          <w:rFonts w:hint="eastAsia" w:ascii="宋体" w:hAnsi="宋体" w:cs="宋体"/>
          <w:sz w:val="32"/>
          <w:szCs w:val="32"/>
        </w:rPr>
        <w:fldChar w:fldCharType="end"/>
      </w:r>
      <w:r>
        <w:rPr>
          <w:rFonts w:hint="eastAsia" w:ascii="宋体" w:hAnsi="宋体" w:cs="宋体"/>
          <w:sz w:val="32"/>
          <w:szCs w:val="32"/>
        </w:rPr>
        <w:fldChar w:fldCharType="end"/>
      </w:r>
    </w:p>
    <w:p>
      <w:pPr>
        <w:pStyle w:val="11"/>
        <w:tabs>
          <w:tab w:val="right" w:leader="dot" w:pos="8297"/>
        </w:tabs>
        <w:spacing w:line="480" w:lineRule="auto"/>
        <w:rPr>
          <w:rFonts w:ascii="宋体" w:hAnsi="宋体" w:cs="宋体"/>
          <w:sz w:val="32"/>
          <w:szCs w:val="32"/>
        </w:rPr>
      </w:pPr>
      <w:r>
        <w:fldChar w:fldCharType="begin"/>
      </w:r>
      <w:r>
        <w:instrText xml:space="preserve"> HYPERLINK \l "_Toc375898985" </w:instrText>
      </w:r>
      <w:r>
        <w:fldChar w:fldCharType="separate"/>
      </w:r>
      <w:r>
        <w:rPr>
          <w:rStyle w:val="17"/>
          <w:rFonts w:hint="eastAsia" w:ascii="宋体" w:hAnsi="宋体" w:cs="宋体"/>
          <w:color w:val="auto"/>
          <w:sz w:val="32"/>
          <w:szCs w:val="32"/>
        </w:rPr>
        <w:t>第三章投标文件格式</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_Toc375898985 \h </w:instrText>
      </w:r>
      <w:r>
        <w:rPr>
          <w:rFonts w:hint="eastAsia" w:ascii="宋体" w:hAnsi="宋体" w:cs="宋体"/>
          <w:sz w:val="32"/>
          <w:szCs w:val="32"/>
        </w:rPr>
        <w:fldChar w:fldCharType="separate"/>
      </w:r>
      <w:r>
        <w:rPr>
          <w:rFonts w:hint="eastAsia" w:ascii="宋体" w:hAnsi="宋体" w:cs="宋体"/>
          <w:sz w:val="32"/>
          <w:szCs w:val="32"/>
        </w:rPr>
        <w:t>18</w:t>
      </w:r>
      <w:r>
        <w:rPr>
          <w:rFonts w:hint="eastAsia" w:ascii="宋体" w:hAnsi="宋体" w:cs="宋体"/>
          <w:sz w:val="32"/>
          <w:szCs w:val="32"/>
        </w:rPr>
        <w:fldChar w:fldCharType="end"/>
      </w:r>
      <w:r>
        <w:rPr>
          <w:rFonts w:hint="eastAsia" w:ascii="宋体" w:hAnsi="宋体" w:cs="宋体"/>
          <w:sz w:val="32"/>
          <w:szCs w:val="32"/>
        </w:rPr>
        <w:fldChar w:fldCharType="end"/>
      </w:r>
    </w:p>
    <w:p>
      <w:pPr>
        <w:pStyle w:val="11"/>
        <w:tabs>
          <w:tab w:val="right" w:leader="dot" w:pos="8297"/>
        </w:tabs>
        <w:spacing w:line="480" w:lineRule="auto"/>
        <w:rPr>
          <w:rFonts w:ascii="宋体" w:hAnsi="宋体" w:cs="宋体"/>
          <w:sz w:val="32"/>
          <w:szCs w:val="32"/>
        </w:rPr>
      </w:pPr>
      <w:r>
        <w:fldChar w:fldCharType="begin"/>
      </w:r>
      <w:r>
        <w:instrText xml:space="preserve"> HYPERLINK \l "_Toc375898986" </w:instrText>
      </w:r>
      <w:r>
        <w:fldChar w:fldCharType="separate"/>
      </w:r>
      <w:r>
        <w:rPr>
          <w:rStyle w:val="17"/>
          <w:rFonts w:hint="eastAsia" w:ascii="宋体" w:hAnsi="宋体" w:cs="宋体"/>
          <w:color w:val="auto"/>
          <w:sz w:val="32"/>
          <w:szCs w:val="32"/>
        </w:rPr>
        <w:t>第四章资格证明文件</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_Toc375898986 \h </w:instrText>
      </w:r>
      <w:r>
        <w:rPr>
          <w:rFonts w:hint="eastAsia" w:ascii="宋体" w:hAnsi="宋体" w:cs="宋体"/>
          <w:sz w:val="32"/>
          <w:szCs w:val="32"/>
        </w:rPr>
        <w:fldChar w:fldCharType="separate"/>
      </w:r>
      <w:r>
        <w:rPr>
          <w:rFonts w:hint="eastAsia" w:ascii="宋体" w:hAnsi="宋体" w:cs="宋体"/>
          <w:sz w:val="32"/>
          <w:szCs w:val="32"/>
        </w:rPr>
        <w:t>28</w:t>
      </w:r>
      <w:r>
        <w:rPr>
          <w:rFonts w:hint="eastAsia" w:ascii="宋体" w:hAnsi="宋体" w:cs="宋体"/>
          <w:sz w:val="32"/>
          <w:szCs w:val="32"/>
        </w:rPr>
        <w:fldChar w:fldCharType="end"/>
      </w:r>
      <w:r>
        <w:rPr>
          <w:rFonts w:hint="eastAsia" w:ascii="宋体" w:hAnsi="宋体" w:cs="宋体"/>
          <w:sz w:val="32"/>
          <w:szCs w:val="32"/>
        </w:rPr>
        <w:fldChar w:fldCharType="end"/>
      </w:r>
    </w:p>
    <w:p>
      <w:pPr>
        <w:pStyle w:val="11"/>
        <w:tabs>
          <w:tab w:val="right" w:leader="dot" w:pos="8297"/>
        </w:tabs>
        <w:spacing w:line="480" w:lineRule="auto"/>
        <w:rPr>
          <w:rFonts w:ascii="宋体" w:hAnsi="宋体" w:cs="宋体"/>
          <w:sz w:val="32"/>
          <w:szCs w:val="32"/>
        </w:rPr>
      </w:pPr>
      <w:r>
        <w:fldChar w:fldCharType="begin"/>
      </w:r>
      <w:r>
        <w:instrText xml:space="preserve"> HYPERLINK \l "_Toc375898987" </w:instrText>
      </w:r>
      <w:r>
        <w:fldChar w:fldCharType="separate"/>
      </w:r>
      <w:r>
        <w:rPr>
          <w:rStyle w:val="17"/>
          <w:rFonts w:hint="eastAsia" w:ascii="宋体" w:hAnsi="宋体" w:cs="宋体"/>
          <w:color w:val="auto"/>
          <w:sz w:val="32"/>
          <w:szCs w:val="32"/>
        </w:rPr>
        <w:t>第五章招标项目及要求</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_Toc375898987 \h </w:instrText>
      </w:r>
      <w:r>
        <w:rPr>
          <w:rFonts w:hint="eastAsia" w:ascii="宋体" w:hAnsi="宋体" w:cs="宋体"/>
          <w:sz w:val="32"/>
          <w:szCs w:val="32"/>
        </w:rPr>
        <w:fldChar w:fldCharType="separate"/>
      </w:r>
      <w:r>
        <w:rPr>
          <w:rFonts w:hint="eastAsia" w:ascii="宋体" w:hAnsi="宋体" w:cs="宋体"/>
          <w:sz w:val="32"/>
          <w:szCs w:val="32"/>
        </w:rPr>
        <w:t>29</w:t>
      </w:r>
      <w:r>
        <w:rPr>
          <w:rFonts w:hint="eastAsia" w:ascii="宋体" w:hAnsi="宋体" w:cs="宋体"/>
          <w:sz w:val="32"/>
          <w:szCs w:val="32"/>
        </w:rPr>
        <w:fldChar w:fldCharType="end"/>
      </w:r>
      <w:r>
        <w:rPr>
          <w:rFonts w:hint="eastAsia" w:ascii="宋体" w:hAnsi="宋体" w:cs="宋体"/>
          <w:sz w:val="32"/>
          <w:szCs w:val="32"/>
        </w:rPr>
        <w:fldChar w:fldCharType="end"/>
      </w:r>
    </w:p>
    <w:p>
      <w:pPr>
        <w:pStyle w:val="11"/>
        <w:tabs>
          <w:tab w:val="right" w:leader="dot" w:pos="8297"/>
        </w:tabs>
        <w:spacing w:line="480" w:lineRule="auto"/>
        <w:rPr>
          <w:rFonts w:ascii="宋体" w:hAnsi="宋体" w:cs="宋体"/>
          <w:sz w:val="32"/>
          <w:szCs w:val="32"/>
        </w:rPr>
      </w:pPr>
      <w:r>
        <w:fldChar w:fldCharType="begin"/>
      </w:r>
      <w:r>
        <w:instrText xml:space="preserve"> HYPERLINK \l "_Toc375898988" </w:instrText>
      </w:r>
      <w:r>
        <w:fldChar w:fldCharType="separate"/>
      </w:r>
      <w:r>
        <w:rPr>
          <w:rStyle w:val="17"/>
          <w:rFonts w:hint="eastAsia" w:ascii="宋体" w:hAnsi="宋体" w:cs="宋体"/>
          <w:color w:val="auto"/>
          <w:sz w:val="32"/>
          <w:szCs w:val="32"/>
        </w:rPr>
        <w:t>第六章评标办法</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_Toc375898988 \h </w:instrText>
      </w:r>
      <w:r>
        <w:rPr>
          <w:rFonts w:hint="eastAsia" w:ascii="宋体" w:hAnsi="宋体" w:cs="宋体"/>
          <w:sz w:val="32"/>
          <w:szCs w:val="32"/>
        </w:rPr>
        <w:fldChar w:fldCharType="separate"/>
      </w:r>
      <w:r>
        <w:rPr>
          <w:rFonts w:hint="eastAsia" w:ascii="宋体" w:hAnsi="宋体" w:cs="宋体"/>
          <w:sz w:val="32"/>
          <w:szCs w:val="32"/>
        </w:rPr>
        <w:t>34</w:t>
      </w:r>
      <w:r>
        <w:rPr>
          <w:rFonts w:hint="eastAsia" w:ascii="宋体" w:hAnsi="宋体" w:cs="宋体"/>
          <w:sz w:val="32"/>
          <w:szCs w:val="32"/>
        </w:rPr>
        <w:fldChar w:fldCharType="end"/>
      </w:r>
      <w:r>
        <w:rPr>
          <w:rFonts w:hint="eastAsia" w:ascii="宋体" w:hAnsi="宋体" w:cs="宋体"/>
          <w:sz w:val="32"/>
          <w:szCs w:val="32"/>
        </w:rPr>
        <w:fldChar w:fldCharType="end"/>
      </w:r>
    </w:p>
    <w:p>
      <w:pPr>
        <w:spacing w:line="480" w:lineRule="auto"/>
        <w:rPr>
          <w:rFonts w:ascii="宋体" w:hAnsi="宋体" w:cs="宋体"/>
        </w:rPr>
      </w:pPr>
      <w:r>
        <w:rPr>
          <w:rFonts w:hint="eastAsia" w:ascii="宋体" w:hAnsi="宋体" w:cs="宋体"/>
          <w:b/>
          <w:sz w:val="32"/>
          <w:szCs w:val="32"/>
        </w:rPr>
        <w:fldChar w:fldCharType="end"/>
      </w:r>
      <w:bookmarkStart w:id="189" w:name="_GoBack"/>
      <w:bookmarkEnd w:id="189"/>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br w:type="page"/>
      </w:r>
    </w:p>
    <w:p>
      <w:pPr>
        <w:pStyle w:val="4"/>
        <w:spacing w:line="240" w:lineRule="atLeast"/>
        <w:jc w:val="center"/>
        <w:rPr>
          <w:rFonts w:ascii="宋体" w:hAnsi="宋体" w:cs="宋体"/>
          <w:bCs w:val="0"/>
          <w:sz w:val="36"/>
        </w:rPr>
      </w:pPr>
      <w:bookmarkStart w:id="4" w:name="_Toc375898983"/>
      <w:r>
        <w:rPr>
          <w:rFonts w:hint="eastAsia" w:ascii="宋体" w:hAnsi="宋体" w:cs="宋体"/>
          <w:bCs w:val="0"/>
          <w:sz w:val="36"/>
        </w:rPr>
        <w:t>第一章  投标邀请</w:t>
      </w:r>
      <w:bookmarkEnd w:id="2"/>
      <w:bookmarkEnd w:id="3"/>
      <w:bookmarkEnd w:id="4"/>
    </w:p>
    <w:p>
      <w:pPr>
        <w:spacing w:line="360" w:lineRule="auto"/>
        <w:ind w:firstLine="480" w:firstLineChars="200"/>
        <w:rPr>
          <w:rFonts w:ascii="宋体" w:hAnsi="宋体" w:cs="宋体"/>
          <w:b/>
          <w:sz w:val="24"/>
        </w:rPr>
      </w:pPr>
      <w:r>
        <w:rPr>
          <w:rFonts w:hint="eastAsia" w:ascii="宋体" w:hAnsi="宋体" w:cs="宋体"/>
          <w:sz w:val="24"/>
        </w:rPr>
        <w:t>重庆交通职业学院拟对</w:t>
      </w:r>
      <w:r>
        <w:rPr>
          <w:rFonts w:hint="eastAsia" w:ascii="宋体" w:hAnsi="宋体" w:cs="宋体"/>
          <w:sz w:val="24"/>
          <w:lang w:val="en-US" w:eastAsia="zh-CN"/>
        </w:rPr>
        <w:t>数字造价实训</w:t>
      </w:r>
      <w:r>
        <w:rPr>
          <w:rFonts w:hint="eastAsia" w:ascii="宋体" w:hAnsi="宋体" w:cs="宋体"/>
          <w:sz w:val="24"/>
        </w:rPr>
        <w:t xml:space="preserve">项目进行国内公开招标，兹邀请符合本次招标要求的供应商参加投标。 </w:t>
      </w:r>
    </w:p>
    <w:p>
      <w:pPr>
        <w:numPr>
          <w:ilvl w:val="0"/>
          <w:numId w:val="1"/>
        </w:numPr>
        <w:spacing w:line="360" w:lineRule="auto"/>
        <w:ind w:right="31" w:rightChars="15" w:firstLine="482" w:firstLineChars="200"/>
        <w:rPr>
          <w:rFonts w:ascii="宋体" w:hAnsi="宋体" w:cs="宋体"/>
          <w:b/>
          <w:sz w:val="24"/>
          <w:szCs w:val="28"/>
        </w:rPr>
      </w:pPr>
      <w:r>
        <w:rPr>
          <w:rFonts w:hint="eastAsia" w:ascii="宋体" w:hAnsi="宋体" w:cs="宋体"/>
          <w:b/>
          <w:sz w:val="24"/>
          <w:szCs w:val="28"/>
        </w:rPr>
        <w:t>招标编号：</w:t>
      </w:r>
    </w:p>
    <w:p>
      <w:pPr>
        <w:spacing w:line="360" w:lineRule="auto"/>
        <w:ind w:right="31" w:rightChars="15" w:firstLine="482" w:firstLineChars="200"/>
        <w:rPr>
          <w:rFonts w:hint="default" w:ascii="宋体" w:hAnsi="宋体" w:cs="宋体"/>
          <w:b/>
          <w:sz w:val="24"/>
          <w:szCs w:val="28"/>
          <w:lang w:val="en-US"/>
        </w:rPr>
      </w:pPr>
      <w:r>
        <w:rPr>
          <w:rFonts w:hint="eastAsia" w:ascii="宋体" w:hAnsi="宋体" w:cs="宋体"/>
          <w:b/>
          <w:sz w:val="24"/>
          <w:szCs w:val="28"/>
        </w:rPr>
        <w:t>二、招标项目：重庆交通职业</w:t>
      </w:r>
      <w:r>
        <w:rPr>
          <w:rFonts w:hint="eastAsia" w:ascii="宋体" w:hAnsi="宋体" w:cs="宋体"/>
          <w:b/>
          <w:sz w:val="24"/>
          <w:szCs w:val="28"/>
          <w:lang w:val="en-US" w:eastAsia="zh-CN"/>
        </w:rPr>
        <w:t>学院数字造价实训</w:t>
      </w:r>
      <w:r>
        <w:rPr>
          <w:rFonts w:hint="eastAsia" w:ascii="宋体" w:hAnsi="宋体" w:cs="宋体"/>
          <w:b/>
          <w:sz w:val="24"/>
          <w:szCs w:val="28"/>
        </w:rPr>
        <w:t>项目</w:t>
      </w:r>
    </w:p>
    <w:p>
      <w:pPr>
        <w:spacing w:line="360" w:lineRule="auto"/>
        <w:ind w:firstLine="482" w:firstLineChars="200"/>
        <w:rPr>
          <w:rFonts w:hint="eastAsia" w:ascii="宋体" w:hAnsi="宋体" w:cs="宋体"/>
          <w:b/>
          <w:sz w:val="24"/>
        </w:rPr>
      </w:pPr>
      <w:r>
        <w:rPr>
          <w:rFonts w:hint="eastAsia" w:ascii="宋体" w:hAnsi="宋体" w:cs="宋体"/>
          <w:b/>
          <w:sz w:val="24"/>
        </w:rPr>
        <w:t>三</w:t>
      </w:r>
      <w:r>
        <w:rPr>
          <w:rFonts w:hint="eastAsia" w:ascii="宋体" w:hAnsi="宋体" w:cs="宋体"/>
          <w:b/>
          <w:bCs/>
          <w:sz w:val="24"/>
        </w:rPr>
        <w:t>、</w:t>
      </w:r>
      <w:r>
        <w:rPr>
          <w:rFonts w:hint="eastAsia" w:ascii="宋体" w:hAnsi="宋体" w:cs="宋体"/>
          <w:b/>
          <w:sz w:val="24"/>
        </w:rPr>
        <w:t>招标项目简介：</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3051"/>
        <w:gridCol w:w="5186"/>
        <w:gridCol w:w="698"/>
        <w:gridCol w:w="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33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6"/>
                <w:szCs w:val="36"/>
                <w:u w:val="none"/>
                <w:lang w:val="en-US" w:eastAsia="zh-CN"/>
              </w:rPr>
            </w:pPr>
            <w:r>
              <w:rPr>
                <w:rFonts w:hint="eastAsia" w:ascii="宋体" w:hAnsi="宋体" w:cs="宋体"/>
                <w:b/>
                <w:sz w:val="24"/>
                <w:szCs w:val="28"/>
              </w:rPr>
              <w:t>重庆交通职业</w:t>
            </w:r>
            <w:r>
              <w:rPr>
                <w:rFonts w:hint="eastAsia" w:ascii="宋体" w:hAnsi="宋体" w:cs="宋体"/>
                <w:b/>
                <w:sz w:val="24"/>
                <w:szCs w:val="28"/>
                <w:lang w:val="en-US" w:eastAsia="zh-CN"/>
              </w:rPr>
              <w:t>学院数字造价实训</w:t>
            </w:r>
            <w:r>
              <w:rPr>
                <w:rFonts w:hint="eastAsia" w:ascii="宋体" w:hAnsi="宋体" w:cs="宋体"/>
                <w:b/>
                <w:sz w:val="24"/>
                <w:szCs w:val="28"/>
              </w:rPr>
              <w:t>项目</w:t>
            </w:r>
            <w:r>
              <w:rPr>
                <w:rFonts w:hint="eastAsia" w:ascii="宋体" w:hAnsi="宋体" w:cs="宋体"/>
                <w:b/>
                <w:sz w:val="24"/>
                <w:szCs w:val="28"/>
                <w:lang w:val="en-US" w:eastAsia="zh-CN"/>
              </w:rPr>
              <w:t>招标参数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一、产品配置</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序号</w:t>
            </w:r>
          </w:p>
        </w:tc>
        <w:tc>
          <w:tcPr>
            <w:tcW w:w="3051"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产品</w:t>
            </w:r>
          </w:p>
        </w:tc>
        <w:tc>
          <w:tcPr>
            <w:tcW w:w="5186" w:type="dxa"/>
            <w:tcBorders>
              <w:top w:val="single" w:color="000000" w:sz="4" w:space="0"/>
              <w:left w:val="single" w:color="000000" w:sz="4" w:space="0"/>
              <w:bottom w:val="single" w:color="000000" w:sz="4" w:space="0"/>
              <w:right w:val="single" w:color="000000" w:sz="4"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产品描述</w:t>
            </w:r>
          </w:p>
        </w:tc>
        <w:tc>
          <w:tcPr>
            <w:tcW w:w="698"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698"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1</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广联达云计价平台GCCP6.0</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eastAsia="宋体"/>
                <w:lang w:val="en-US" w:eastAsia="zh-CN"/>
              </w:rPr>
            </w:pPr>
            <w:r>
              <w:rPr>
                <w:rFonts w:hint="eastAsia"/>
                <w:lang w:val="en-US" w:eastAsia="zh-CN"/>
              </w:rPr>
              <w:t>一、软件描述</w:t>
            </w:r>
          </w:p>
          <w:p>
            <w:pPr>
              <w:jc w:val="left"/>
              <w:rPr>
                <w:rFonts w:hint="eastAsia"/>
              </w:rPr>
            </w:pPr>
            <w:r>
              <w:rPr>
                <w:rFonts w:hint="eastAsia"/>
              </w:rPr>
              <w:t>1. 提供统一入口，能够处理计价全过程业务，包括概算、预算、结算（进度款及竣工结算）、审核等；</w:t>
            </w:r>
          </w:p>
          <w:p>
            <w:pPr>
              <w:jc w:val="left"/>
              <w:rPr>
                <w:rFonts w:hint="eastAsia"/>
              </w:rPr>
            </w:pPr>
            <w:r>
              <w:rPr>
                <w:rFonts w:hint="eastAsia"/>
              </w:rPr>
              <w:t>2. 能够进行市场化计价、定额计价、清单计价、三种计价模式；</w:t>
            </w:r>
          </w:p>
          <w:p>
            <w:pPr>
              <w:jc w:val="left"/>
              <w:rPr>
                <w:rFonts w:hint="eastAsia"/>
              </w:rPr>
            </w:pPr>
            <w:r>
              <w:rPr>
                <w:rFonts w:hint="eastAsia"/>
              </w:rPr>
              <w:t>3. 内置当地最新行业清单、定额计算规则；</w:t>
            </w:r>
          </w:p>
          <w:p>
            <w:pPr>
              <w:jc w:val="left"/>
              <w:rPr>
                <w:rFonts w:hint="eastAsia"/>
              </w:rPr>
            </w:pPr>
            <w:r>
              <w:rPr>
                <w:rFonts w:hint="eastAsia"/>
              </w:rPr>
              <w:t>4. 计价软件与算量软件能够数据互通，实现一键提量，并能同步刷新工程量，实现量价实时更新。能够从计价文件反查工程量到算量软件中，并且能够定位到算量构建模型；</w:t>
            </w:r>
          </w:p>
          <w:p>
            <w:pPr>
              <w:jc w:val="left"/>
              <w:rPr>
                <w:rFonts w:hint="eastAsia"/>
              </w:rPr>
            </w:pPr>
            <w:r>
              <w:rPr>
                <w:rFonts w:hint="eastAsia"/>
              </w:rPr>
              <w:t>5. 生成符合接口标准的招标清单、招标控制价、投标电子标文件，支持全国各地区的电子招投标和网络评标系统；</w:t>
            </w:r>
          </w:p>
          <w:p>
            <w:pPr>
              <w:jc w:val="left"/>
              <w:rPr>
                <w:rFonts w:hint="eastAsia"/>
              </w:rPr>
            </w:pPr>
            <w:r>
              <w:rPr>
                <w:rFonts w:hint="eastAsia"/>
              </w:rPr>
              <w:t>6. 针对群体项目应有智能组价、快速组价的功能，一键批量完成组价，对已组价、未组价结果清晰可查，对组价数据来源、匹配方式清晰标识；</w:t>
            </w:r>
          </w:p>
          <w:p>
            <w:pPr>
              <w:jc w:val="left"/>
              <w:rPr>
                <w:rFonts w:hint="eastAsia"/>
              </w:rPr>
            </w:pPr>
            <w:r>
              <w:rPr>
                <w:rFonts w:hint="eastAsia"/>
              </w:rPr>
              <w:t>7.软件涵盖云存储（工程文件以及工程数据）、可随时随地联网下载，工程数据中的组价方案、项目特征描述、人材机信息可存储到个人数据库进行数据积累，能够在手机端查看该工程造价信息，可以通过手机端直接在工程上即时批注，同步显示；</w:t>
            </w:r>
          </w:p>
          <w:p>
            <w:pPr>
              <w:jc w:val="left"/>
              <w:rPr>
                <w:rFonts w:hint="eastAsia"/>
              </w:rPr>
            </w:pPr>
            <w:r>
              <w:rPr>
                <w:rFonts w:hint="eastAsia"/>
              </w:rPr>
              <w:t>8.可查看项目、单项、单位工程对应造价分析数据，项目、单项、单位工程可以直接编辑；</w:t>
            </w:r>
          </w:p>
          <w:p>
            <w:pPr>
              <w:jc w:val="left"/>
              <w:rPr>
                <w:rFonts w:hint="eastAsia"/>
              </w:rPr>
            </w:pPr>
            <w:r>
              <w:rPr>
                <w:rFonts w:hint="eastAsia"/>
              </w:rPr>
              <w:t>9.可以按照工程和专业两个维度，输出主要经济指标、主要工程量指标、主要工料指标；</w:t>
            </w:r>
          </w:p>
          <w:p>
            <w:pPr>
              <w:jc w:val="left"/>
              <w:rPr>
                <w:rFonts w:hint="eastAsia"/>
              </w:rPr>
            </w:pPr>
            <w:r>
              <w:rPr>
                <w:rFonts w:hint="eastAsia"/>
              </w:rPr>
              <w:t>10.工程量清单单位默认为自然单位，定额单位默认为定额单位无需手动修改；</w:t>
            </w:r>
          </w:p>
          <w:p>
            <w:pPr>
              <w:jc w:val="left"/>
              <w:rPr>
                <w:rFonts w:hint="eastAsia"/>
              </w:rPr>
            </w:pPr>
            <w:r>
              <w:rPr>
                <w:rFonts w:hint="eastAsia"/>
              </w:rPr>
              <w:t>11.能够单个锁定清单，强制修改综合单价时，组价计算关系能够自动调整；</w:t>
            </w:r>
          </w:p>
          <w:p>
            <w:pPr>
              <w:jc w:val="left"/>
              <w:rPr>
                <w:rFonts w:hint="eastAsia"/>
              </w:rPr>
            </w:pPr>
            <w:r>
              <w:rPr>
                <w:rFonts w:hint="eastAsia"/>
              </w:rPr>
              <w:t>12、可将招投标计价文件直接转为验工计价文件；</w:t>
            </w:r>
          </w:p>
          <w:p>
            <w:pPr>
              <w:jc w:val="left"/>
              <w:rPr>
                <w:rFonts w:hint="eastAsia"/>
              </w:rPr>
            </w:pPr>
            <w:r>
              <w:rPr>
                <w:rFonts w:hint="eastAsia"/>
              </w:rPr>
              <w:t>13.提供提供合同金额、至上期累计金额、当期金额、总累计金额等多样式多维度的报表，方便应用，无需自己excel制表；</w:t>
            </w:r>
          </w:p>
          <w:p>
            <w:pPr>
              <w:jc w:val="left"/>
              <w:rPr>
                <w:rFonts w:hint="eastAsia"/>
              </w:rPr>
            </w:pPr>
            <w:r>
              <w:rPr>
                <w:rFonts w:hint="eastAsia"/>
              </w:rPr>
              <w:t>14.能够送审和审核进行对比，审核过程中对于清单、定额、费用汇总增、删、改进行颜色标识；同时工程量差及增减金额自动计算，且可看到变化原因；</w:t>
            </w:r>
          </w:p>
          <w:p>
            <w:pPr>
              <w:jc w:val="left"/>
              <w:rPr>
                <w:rFonts w:hint="eastAsia"/>
              </w:rPr>
            </w:pPr>
            <w:r>
              <w:rPr>
                <w:rFonts w:hint="eastAsia"/>
              </w:rPr>
              <w:t>15.能够自动检查工程量合规性、清单错套漏套、综合单价合理性校验结果清晰直观，能够分析单价差异原因。</w:t>
            </w:r>
          </w:p>
          <w:p>
            <w:pPr>
              <w:jc w:val="left"/>
              <w:rPr>
                <w:rFonts w:hint="eastAsia"/>
              </w:rPr>
            </w:pPr>
            <w:r>
              <w:rPr>
                <w:rFonts w:hint="eastAsia"/>
                <w:lang w:val="en-US" w:eastAsia="zh-CN"/>
              </w:rPr>
              <w:t>二</w:t>
            </w:r>
            <w:r>
              <w:rPr>
                <w:rFonts w:hint="eastAsia"/>
              </w:rPr>
              <w:t>、工程造价N+N工作坊</w:t>
            </w:r>
          </w:p>
          <w:p>
            <w:pPr>
              <w:jc w:val="left"/>
              <w:rPr>
                <w:rFonts w:hint="eastAsia"/>
              </w:rPr>
            </w:pPr>
            <w:r>
              <w:rPr>
                <w:rFonts w:hint="eastAsia"/>
              </w:rPr>
              <w:t>1、校企双选</w:t>
            </w:r>
          </w:p>
          <w:p>
            <w:pPr>
              <w:jc w:val="left"/>
              <w:rPr>
                <w:rFonts w:hint="eastAsia"/>
              </w:rPr>
            </w:pPr>
            <w:r>
              <w:rPr>
                <w:rFonts w:hint="eastAsia"/>
              </w:rPr>
              <w:t>为院校提供N+N造价人才工作坊服务（后简称“工作坊”），人数不少于30人，并为参与工作服的学生提供企业库和岗位库，保证人岗数量≥开通工作坊服务学生数量的2倍。每位学生开通一个相应平台账号，登录该平台可选择企业、任务实训、投递简历等。</w:t>
            </w:r>
          </w:p>
          <w:p>
            <w:pPr>
              <w:jc w:val="left"/>
              <w:rPr>
                <w:rFonts w:hint="eastAsia"/>
              </w:rPr>
            </w:pPr>
            <w:r>
              <w:rPr>
                <w:rFonts w:hint="eastAsia"/>
              </w:rPr>
              <w:t>2、定制能力提升方案</w:t>
            </w:r>
          </w:p>
          <w:p>
            <w:pPr>
              <w:jc w:val="left"/>
              <w:rPr>
                <w:rFonts w:hint="eastAsia"/>
              </w:rPr>
            </w:pPr>
            <w:r>
              <w:rPr>
                <w:rFonts w:hint="eastAsia"/>
              </w:rPr>
              <w:t>（1）根据学生在平台选择岗位和企业，基于该企业对造价人才能力需求模型定制对应的实训任务。</w:t>
            </w:r>
          </w:p>
          <w:p>
            <w:pPr>
              <w:jc w:val="left"/>
              <w:rPr>
                <w:rFonts w:hint="eastAsia"/>
              </w:rPr>
            </w:pPr>
            <w:r>
              <w:rPr>
                <w:rFonts w:hint="eastAsia"/>
              </w:rPr>
              <w:t>（2）所有实训任务均来源于该企业的真实项目案例。</w:t>
            </w:r>
          </w:p>
          <w:p>
            <w:pPr>
              <w:jc w:val="left"/>
              <w:rPr>
                <w:rFonts w:hint="eastAsia"/>
              </w:rPr>
            </w:pPr>
            <w:r>
              <w:rPr>
                <w:rFonts w:hint="eastAsia"/>
              </w:rPr>
              <w:t>（3）根据企业对不同能力需求的深度与比重，提供2~3周定制提升方案，并在完成所有任务及最终测评后，组织合格学生与企业进行面试答辩。</w:t>
            </w:r>
          </w:p>
          <w:p>
            <w:pPr>
              <w:jc w:val="left"/>
              <w:rPr>
                <w:rFonts w:hint="eastAsia"/>
              </w:rPr>
            </w:pPr>
            <w:r>
              <w:rPr>
                <w:rFonts w:hint="eastAsia"/>
                <w:lang w:val="en-US" w:eastAsia="zh-CN"/>
              </w:rPr>
              <w:t>三</w:t>
            </w:r>
            <w:r>
              <w:rPr>
                <w:rFonts w:hint="eastAsia"/>
              </w:rPr>
              <w:t>、任务实训</w:t>
            </w:r>
          </w:p>
          <w:p>
            <w:pPr>
              <w:jc w:val="left"/>
              <w:rPr>
                <w:rFonts w:hint="eastAsia"/>
              </w:rPr>
            </w:pPr>
            <w:r>
              <w:rPr>
                <w:rFonts w:hint="eastAsia"/>
              </w:rPr>
              <w:t>根据学生所选岗位和企业所生成的定制能力提升方案匹配任务及最终测评内容。</w:t>
            </w:r>
          </w:p>
          <w:p>
            <w:pPr>
              <w:jc w:val="left"/>
              <w:rPr>
                <w:rFonts w:hint="eastAsia"/>
              </w:rPr>
            </w:pPr>
            <w:r>
              <w:rPr>
                <w:rFonts w:hint="eastAsia"/>
              </w:rPr>
              <w:t>任务实训根据企业能力需求一般控制在2~3周时间，在实训结束后合格学生可以预约企业参加答辩面试。</w:t>
            </w:r>
          </w:p>
          <w:p>
            <w:pPr>
              <w:jc w:val="left"/>
              <w:rPr>
                <w:rFonts w:hint="eastAsia"/>
              </w:rPr>
            </w:pPr>
            <w:r>
              <w:rPr>
                <w:rFonts w:hint="eastAsia"/>
              </w:rPr>
              <w:t>1、过程训练</w:t>
            </w:r>
          </w:p>
          <w:p>
            <w:pPr>
              <w:jc w:val="left"/>
              <w:rPr>
                <w:rFonts w:hint="eastAsia"/>
              </w:rPr>
            </w:pPr>
            <w:r>
              <w:rPr>
                <w:rFonts w:hint="eastAsia"/>
              </w:rPr>
              <w:t>1.1一般训练</w:t>
            </w:r>
          </w:p>
          <w:p>
            <w:pPr>
              <w:jc w:val="left"/>
              <w:rPr>
                <w:rFonts w:hint="eastAsia"/>
              </w:rPr>
            </w:pPr>
            <w:r>
              <w:rPr>
                <w:rFonts w:hint="eastAsia"/>
              </w:rPr>
              <w:t>一般任务包括计量、计价两个模块，主要内容包括：识图&amp;建模、计量规则与施工工艺、计价规则理解&amp;软件处理等。</w:t>
            </w:r>
          </w:p>
          <w:p>
            <w:pPr>
              <w:jc w:val="left"/>
              <w:rPr>
                <w:rFonts w:hint="eastAsia"/>
              </w:rPr>
            </w:pPr>
            <w:r>
              <w:rPr>
                <w:rFonts w:hint="eastAsia"/>
              </w:rPr>
              <w:t>训练形式模拟学生应聘通过进入企业，师傅带徒模式，即师傅提供工作资料并简单指导强调重点，再由徒弟自行完成任务，最后师傅对结果进行校核。</w:t>
            </w:r>
          </w:p>
          <w:p>
            <w:pPr>
              <w:jc w:val="left"/>
              <w:rPr>
                <w:rFonts w:hint="eastAsia"/>
              </w:rPr>
            </w:pPr>
            <w:r>
              <w:rPr>
                <w:rFonts w:hint="eastAsia"/>
              </w:rPr>
              <w:t>全过程在对应平台进行，包括任务引入、完成任务、结果检验。</w:t>
            </w:r>
          </w:p>
          <w:p>
            <w:pPr>
              <w:jc w:val="left"/>
              <w:rPr>
                <w:rFonts w:hint="eastAsia"/>
              </w:rPr>
            </w:pPr>
            <w:r>
              <w:rPr>
                <w:rFonts w:hint="eastAsia"/>
              </w:rPr>
              <w:t>1.2能力提升</w:t>
            </w:r>
          </w:p>
          <w:p>
            <w:pPr>
              <w:jc w:val="left"/>
              <w:rPr>
                <w:rFonts w:hint="eastAsia"/>
              </w:rPr>
            </w:pPr>
            <w:r>
              <w:rPr>
                <w:rFonts w:hint="eastAsia"/>
              </w:rPr>
              <w:t>能力提升根据企业需求包括计量、计价两个模块，主要内容包括但不限于：图纸答疑、指标核验、对量实操、价格调整、经济指标分析、汇总及输出。</w:t>
            </w:r>
          </w:p>
          <w:p>
            <w:pPr>
              <w:jc w:val="left"/>
              <w:rPr>
                <w:rFonts w:hint="eastAsia"/>
              </w:rPr>
            </w:pPr>
            <w:r>
              <w:rPr>
                <w:rFonts w:hint="eastAsia"/>
              </w:rPr>
              <w:t>训练形式模拟学生应聘通过进入企业，师傅带徒模式，即师傅提供工作资料并简单指导强调重点，再由徒弟自行完成任务，最后师傅对结果进行校核。</w:t>
            </w:r>
          </w:p>
          <w:p>
            <w:pPr>
              <w:jc w:val="left"/>
              <w:rPr>
                <w:rFonts w:hint="eastAsia"/>
              </w:rPr>
            </w:pPr>
            <w:r>
              <w:rPr>
                <w:rFonts w:hint="eastAsia"/>
              </w:rPr>
              <w:t>全过程在相应平台进行，包括任务引入、完成任务、结果检验。</w:t>
            </w:r>
          </w:p>
          <w:p>
            <w:pPr>
              <w:jc w:val="left"/>
              <w:rPr>
                <w:rFonts w:hint="eastAsia"/>
              </w:rPr>
            </w:pPr>
            <w:r>
              <w:rPr>
                <w:rFonts w:hint="eastAsia"/>
              </w:rPr>
              <w:t>2、最终测评</w:t>
            </w:r>
          </w:p>
          <w:p>
            <w:pPr>
              <w:jc w:val="left"/>
              <w:rPr>
                <w:rFonts w:hint="eastAsia"/>
              </w:rPr>
            </w:pPr>
            <w:r>
              <w:rPr>
                <w:rFonts w:hint="eastAsia"/>
              </w:rPr>
              <w:t>当学生完成了所有任务实训，可以在相应平台进行最终测评。测评内容为以实际项目为基础，根据训练重点完成一个完整的任务。</w:t>
            </w:r>
          </w:p>
          <w:p>
            <w:pPr>
              <w:jc w:val="left"/>
              <w:rPr>
                <w:rFonts w:hint="eastAsia"/>
              </w:rPr>
            </w:pPr>
            <w:r>
              <w:rPr>
                <w:rFonts w:hint="eastAsia"/>
              </w:rPr>
              <w:t>在规定时间完成后，学生在线上录入任务完成成果，系统自动打分并出具相应报告。</w:t>
            </w:r>
          </w:p>
          <w:p>
            <w:pPr>
              <w:jc w:val="left"/>
              <w:rPr>
                <w:rFonts w:hint="eastAsia"/>
              </w:rPr>
            </w:pPr>
            <w:r>
              <w:rPr>
                <w:rFonts w:hint="eastAsia"/>
                <w:lang w:val="en-US" w:eastAsia="zh-CN"/>
              </w:rPr>
              <w:t>四</w:t>
            </w:r>
            <w:r>
              <w:rPr>
                <w:rFonts w:hint="eastAsia"/>
              </w:rPr>
              <w:t>、校企互动</w:t>
            </w:r>
          </w:p>
          <w:p>
            <w:pPr>
              <w:jc w:val="left"/>
              <w:rPr>
                <w:rFonts w:hint="eastAsia"/>
              </w:rPr>
            </w:pPr>
            <w:r>
              <w:rPr>
                <w:rFonts w:hint="eastAsia"/>
              </w:rPr>
              <w:t>1、答疑交流</w:t>
            </w:r>
          </w:p>
          <w:p>
            <w:pPr>
              <w:jc w:val="left"/>
              <w:rPr>
                <w:rFonts w:hint="eastAsia"/>
              </w:rPr>
            </w:pPr>
            <w:r>
              <w:rPr>
                <w:rFonts w:hint="eastAsia"/>
              </w:rPr>
              <w:t>在任务实训过程中（2~3周）安排1~2次企业专家交流，模拟实际工作过程中有问题向师傅询问。过程中学生可以就任务内容、工作岗位、工作环境等问题与企业交流，以加深学生对未来就业的理解。</w:t>
            </w:r>
          </w:p>
          <w:p>
            <w:pPr>
              <w:jc w:val="left"/>
              <w:rPr>
                <w:rFonts w:hint="eastAsia"/>
              </w:rPr>
            </w:pPr>
            <w:r>
              <w:rPr>
                <w:rFonts w:hint="eastAsia"/>
              </w:rPr>
              <w:t>2、面试答辩</w:t>
            </w:r>
          </w:p>
          <w:p>
            <w:pPr>
              <w:jc w:val="left"/>
              <w:rPr>
                <w:rFonts w:hint="eastAsia"/>
              </w:rPr>
            </w:pPr>
            <w:r>
              <w:rPr>
                <w:rFonts w:hint="eastAsia"/>
              </w:rPr>
              <w:t>当完成最终测评且合格后组织企业专家对学生进行答辩面试，作为企业应聘学生实习或入职的面试。</w:t>
            </w:r>
          </w:p>
          <w:p>
            <w:pPr>
              <w:jc w:val="left"/>
              <w:rPr>
                <w:rFonts w:hint="eastAsia"/>
              </w:rPr>
            </w:pPr>
            <w:r>
              <w:rPr>
                <w:rFonts w:hint="eastAsia"/>
              </w:rPr>
              <w:t>面试人员：所选岗位对应的企业招聘负责人</w:t>
            </w:r>
          </w:p>
          <w:p>
            <w:pPr>
              <w:jc w:val="left"/>
              <w:rPr>
                <w:rFonts w:hint="eastAsia"/>
              </w:rPr>
            </w:pPr>
            <w:r>
              <w:rPr>
                <w:rFonts w:hint="eastAsia"/>
              </w:rPr>
              <w:t>面试材料：根据学生过程练习和最终测评的综合评价报告（提供相应平台自动生成）。</w:t>
            </w:r>
          </w:p>
          <w:p>
            <w:pPr>
              <w:jc w:val="left"/>
              <w:rPr>
                <w:rFonts w:hint="eastAsia"/>
              </w:rPr>
            </w:pPr>
            <w:r>
              <w:rPr>
                <w:rFonts w:hint="eastAsia"/>
              </w:rPr>
              <w:t>面试内容：围绕知识点、实战能力、品行等多方面面试应聘学生。</w:t>
            </w:r>
          </w:p>
          <w:p>
            <w:pPr>
              <w:jc w:val="left"/>
              <w:rPr>
                <w:rFonts w:hint="eastAsia"/>
              </w:rPr>
            </w:pPr>
            <w:r>
              <w:rPr>
                <w:rFonts w:hint="eastAsia"/>
              </w:rPr>
              <w:t>面试结果：面试结果与评价将录入相应平台，供学生自行查看。</w:t>
            </w:r>
          </w:p>
          <w:p>
            <w:pPr>
              <w:jc w:val="left"/>
              <w:rPr>
                <w:rFonts w:hint="eastAsia"/>
              </w:rPr>
            </w:pPr>
            <w:r>
              <w:rPr>
                <w:rFonts w:hint="eastAsia"/>
                <w:lang w:val="en-US" w:eastAsia="zh-CN"/>
              </w:rPr>
              <w:t>五</w:t>
            </w:r>
            <w:r>
              <w:rPr>
                <w:rFonts w:hint="eastAsia"/>
              </w:rPr>
              <w:t>、综合分析</w:t>
            </w:r>
          </w:p>
          <w:p>
            <w:pPr>
              <w:jc w:val="left"/>
              <w:rPr>
                <w:rFonts w:hint="eastAsia"/>
              </w:rPr>
            </w:pPr>
            <w:r>
              <w:rPr>
                <w:rFonts w:hint="eastAsia"/>
              </w:rPr>
              <w:t>1、学生评价报告</w:t>
            </w:r>
          </w:p>
          <w:p>
            <w:pPr>
              <w:jc w:val="left"/>
              <w:rPr>
                <w:rFonts w:hint="eastAsia"/>
              </w:rPr>
            </w:pPr>
            <w:r>
              <w:rPr>
                <w:rFonts w:hint="eastAsia"/>
              </w:rPr>
              <w:t>根据学生选择的岗位和企业能力模型以及基础信息（自行在平台录入）、实训任务、校企互动情况生成个人综合评测报告1份。</w:t>
            </w:r>
          </w:p>
          <w:p>
            <w:pPr>
              <w:jc w:val="left"/>
              <w:rPr>
                <w:rFonts w:hint="eastAsia"/>
              </w:rPr>
            </w:pPr>
            <w:r>
              <w:rPr>
                <w:rFonts w:hint="eastAsia"/>
              </w:rPr>
              <w:t>报告内容包括：</w:t>
            </w:r>
          </w:p>
          <w:p>
            <w:pPr>
              <w:jc w:val="left"/>
              <w:rPr>
                <w:rFonts w:hint="eastAsia"/>
              </w:rPr>
            </w:pPr>
            <w:r>
              <w:rPr>
                <w:rFonts w:hint="eastAsia"/>
              </w:rPr>
              <w:t>1.1综合能力分析：</w:t>
            </w:r>
          </w:p>
          <w:p>
            <w:pPr>
              <w:jc w:val="left"/>
              <w:rPr>
                <w:rFonts w:hint="eastAsia"/>
              </w:rPr>
            </w:pPr>
            <w:r>
              <w:rPr>
                <w:rFonts w:hint="eastAsia"/>
              </w:rPr>
              <w:t>1）针对岗位的整体能力分析：对比企业需求、竞聘者平均水平等</w:t>
            </w:r>
          </w:p>
          <w:p>
            <w:pPr>
              <w:jc w:val="left"/>
              <w:rPr>
                <w:rFonts w:hint="eastAsia"/>
              </w:rPr>
            </w:pPr>
            <w:r>
              <w:rPr>
                <w:rFonts w:hint="eastAsia"/>
              </w:rPr>
              <w:t>2）对所选岗位的匹配度排名</w:t>
            </w:r>
          </w:p>
          <w:p>
            <w:pPr>
              <w:jc w:val="left"/>
              <w:rPr>
                <w:rFonts w:hint="eastAsia"/>
              </w:rPr>
            </w:pPr>
            <w:r>
              <w:rPr>
                <w:rFonts w:hint="eastAsia"/>
              </w:rPr>
              <w:t>3）个人建议：长处、短板、建议提升内容、岗位选择等</w:t>
            </w:r>
          </w:p>
          <w:p>
            <w:pPr>
              <w:jc w:val="left"/>
              <w:rPr>
                <w:rFonts w:hint="eastAsia"/>
              </w:rPr>
            </w:pPr>
            <w:r>
              <w:rPr>
                <w:rFonts w:hint="eastAsia"/>
              </w:rPr>
              <w:t>1.2基础信息分析</w:t>
            </w:r>
          </w:p>
          <w:p>
            <w:pPr>
              <w:jc w:val="left"/>
              <w:rPr>
                <w:rFonts w:hint="eastAsia"/>
              </w:rPr>
            </w:pPr>
            <w:r>
              <w:rPr>
                <w:rFonts w:hint="eastAsia"/>
              </w:rPr>
              <w:t>包括综合得分、企业要求、在填报企业意愿学生中排名、匹配程度。并对每个测评项针对学生的具体情况进行评价和匹配度分析。</w:t>
            </w:r>
          </w:p>
          <w:p>
            <w:pPr>
              <w:jc w:val="left"/>
              <w:rPr>
                <w:rFonts w:hint="eastAsia"/>
              </w:rPr>
            </w:pPr>
            <w:r>
              <w:rPr>
                <w:rFonts w:hint="eastAsia"/>
              </w:rPr>
              <w:t>1.3能力特点分析</w:t>
            </w:r>
          </w:p>
          <w:p>
            <w:pPr>
              <w:jc w:val="left"/>
              <w:rPr>
                <w:rFonts w:hint="eastAsia"/>
              </w:rPr>
            </w:pPr>
            <w:r>
              <w:rPr>
                <w:rFonts w:hint="eastAsia"/>
              </w:rPr>
              <w:t>包括综合得分、企业要求、在填报企业意愿学生中排名、匹配程度、能力评价、个人建议。</w:t>
            </w:r>
          </w:p>
          <w:p>
            <w:pPr>
              <w:jc w:val="left"/>
              <w:rPr>
                <w:rFonts w:hint="eastAsia"/>
              </w:rPr>
            </w:pPr>
            <w:r>
              <w:rPr>
                <w:rFonts w:hint="eastAsia"/>
              </w:rPr>
              <w:t>工作坊最终测评分析：根据最终测评的任务评对计量、计价的能力综合评测，包括但不限于：图纸识读、软件处理、计量规则、公益理解等模块，并对各个模块进行信度分析。</w:t>
            </w:r>
          </w:p>
          <w:p>
            <w:pPr>
              <w:jc w:val="left"/>
              <w:rPr>
                <w:rFonts w:hint="eastAsia"/>
              </w:rPr>
            </w:pPr>
            <w:r>
              <w:rPr>
                <w:rFonts w:hint="eastAsia"/>
              </w:rPr>
              <w:t>校内成绩分析：包括所学专业课及成绩，对比参加工作坊学生平均分数、企业需求，并给出结论和建议。</w:t>
            </w:r>
          </w:p>
          <w:p>
            <w:pPr>
              <w:jc w:val="left"/>
              <w:rPr>
                <w:rFonts w:hint="eastAsia"/>
              </w:rPr>
            </w:pPr>
            <w:r>
              <w:rPr>
                <w:rFonts w:hint="eastAsia"/>
              </w:rPr>
              <w:t>1.4行为特点分析</w:t>
            </w:r>
          </w:p>
          <w:p>
            <w:pPr>
              <w:jc w:val="left"/>
              <w:rPr>
                <w:rFonts w:hint="eastAsia"/>
              </w:rPr>
            </w:pPr>
            <w:r>
              <w:rPr>
                <w:rFonts w:hint="eastAsia"/>
              </w:rPr>
              <w:t>1）工作坊过程训练行为分析：通过完成度和任务完成结果评价学生的学习能力、学习毅力、实操能力等，并根据最终结果给出总结和建议。</w:t>
            </w:r>
          </w:p>
          <w:p>
            <w:pPr>
              <w:jc w:val="left"/>
              <w:rPr>
                <w:rFonts w:hint="eastAsia"/>
              </w:rPr>
            </w:pPr>
            <w:r>
              <w:rPr>
                <w:rFonts w:hint="eastAsia"/>
              </w:rPr>
              <w:t>2）实习行为分析：根据实习单位的性质和实习时间分析评价该学生实习经历与企业需求是否匹配。</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rPr>
              <w:t>3）校内活动及荣誉分析：根据证书获取情况、朋友评先、学生工作分析与企业需求是否匹配。</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广联达BIM安装计量软件GQI2021</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rPr>
            </w:pPr>
            <w:r>
              <w:rPr>
                <w:rFonts w:hint="eastAsia"/>
                <w:lang w:val="en-US" w:eastAsia="zh-CN"/>
              </w:rPr>
              <w:t>一、软件描述</w:t>
            </w:r>
          </w:p>
          <w:p>
            <w:pPr>
              <w:pStyle w:val="2"/>
              <w:rPr>
                <w:rFonts w:hint="eastAsia"/>
              </w:rPr>
            </w:pPr>
            <w:r>
              <w:rPr>
                <w:rFonts w:hint="eastAsia"/>
              </w:rPr>
              <w:t>1.软件采用具备自主知识产权的国产三维图形平台，不需要安装任何其它CAD软件，安装完成可直接打开使用。</w:t>
            </w:r>
          </w:p>
          <w:p>
            <w:pPr>
              <w:pStyle w:val="2"/>
              <w:rPr>
                <w:rFonts w:hint="eastAsia"/>
              </w:rPr>
            </w:pPr>
            <w:r>
              <w:rPr>
                <w:rFonts w:hint="eastAsia"/>
              </w:rPr>
              <w:t>★2.软件应能够导入PDF、能够具备导入图片、旋转图片、定位图片、删除图片以及对其图片等图片管理功能，并能导入BIM模型。</w:t>
            </w:r>
          </w:p>
          <w:p>
            <w:pPr>
              <w:pStyle w:val="2"/>
              <w:rPr>
                <w:rFonts w:hint="eastAsia"/>
              </w:rPr>
            </w:pPr>
            <w:r>
              <w:rPr>
                <w:rFonts w:hint="eastAsia"/>
              </w:rPr>
              <w:t>3.软件内置《GB50242-2002》、《GB50243-2016》和GB50261-2017》国家规范，能够区分不同的系统，系统包含给水系统、消火栓灭火系统、喷淋灭火系统、排水系统、污水系统、废水系统以及雨水系统，根据不同的管道材质以及是否含有保温，进行管道支架间距设置。</w:t>
            </w:r>
          </w:p>
          <w:p>
            <w:pPr>
              <w:pStyle w:val="2"/>
              <w:rPr>
                <w:rFonts w:hint="eastAsia"/>
              </w:rPr>
            </w:pPr>
            <w:r>
              <w:rPr>
                <w:rFonts w:hint="eastAsia"/>
              </w:rPr>
              <w:t>4.软件内置《GB 50243-2016 通风与空调工程施工质量验收规范》，能够区分风管的形状以及材质，进行厚度的设置，并支持自行编辑，可以根据实际情况添加行和删除行。</w:t>
            </w:r>
          </w:p>
          <w:p>
            <w:pPr>
              <w:pStyle w:val="2"/>
              <w:rPr>
                <w:rFonts w:hint="eastAsia"/>
              </w:rPr>
            </w:pPr>
            <w:r>
              <w:rPr>
                <w:rFonts w:hint="eastAsia"/>
              </w:rPr>
              <w:t>5.软件应支持电气、给排水、采暖燃气、消防、通风空调和工业管道等7大专业的建模，在软件内部可以一键支持7大专业的任意切换。</w:t>
            </w:r>
          </w:p>
          <w:p>
            <w:pPr>
              <w:pStyle w:val="2"/>
              <w:rPr>
                <w:rFonts w:hint="eastAsia"/>
              </w:rPr>
            </w:pPr>
            <w:r>
              <w:rPr>
                <w:rFonts w:hint="eastAsia"/>
              </w:rPr>
              <w:t>6.软件应支持安装工程电气、给排水、采暖燃气、消防、通风空调和工业管道7大专业的模型合并，并支持土建模型的导入，模型导入完成后，可以对模型进行管理以及碰撞检查，对电气、给排水、采暖燃气、消防、通风空调和工业管道6大专业的检查对象和碰撞对象进行设置，设置的内容包含硬碰撞和软碰撞的忽略碰撞深度。</w:t>
            </w:r>
          </w:p>
          <w:p>
            <w:pPr>
              <w:pStyle w:val="2"/>
              <w:rPr>
                <w:rFonts w:hint="eastAsia"/>
              </w:rPr>
            </w:pPr>
            <w:r>
              <w:rPr>
                <w:rFonts w:hint="eastAsia"/>
              </w:rPr>
              <w:t>★7.软件应支持工业管道模型的创建，区分不同连接方式、压力等级、介质等，并可在属性中区分不同连接方式、压力等级以及介质名称等进行参数化设置；</w:t>
            </w:r>
          </w:p>
          <w:p>
            <w:pPr>
              <w:pStyle w:val="2"/>
              <w:rPr>
                <w:rFonts w:hint="eastAsia"/>
              </w:rPr>
            </w:pPr>
            <w:r>
              <w:rPr>
                <w:rFonts w:hint="eastAsia"/>
              </w:rPr>
              <w:t>★8.软件建模完成后，应能区分楼层和整体楼层进行工程量汇总，支持查询清单、查询定额、可以自动套用清单，匹配项目特征和自动套用定额，并支持导入清单、复用历史数据，并可导出到Excel。</w:t>
            </w:r>
          </w:p>
          <w:p>
            <w:pPr>
              <w:pStyle w:val="2"/>
              <w:rPr>
                <w:rFonts w:hint="eastAsia"/>
              </w:rPr>
            </w:pPr>
            <w:r>
              <w:rPr>
                <w:rFonts w:hint="eastAsia"/>
              </w:rPr>
              <w:t>★9.建模完成后，应能够对模型进行实体渲染，软件内置实体模型 ，并支持三维实体模型的下载和导入，支持云储存和云输入功能并能够根据实际工程情况，对其规格型号进行修改，分别支持电气、给排水、采暖燃气、消防、通风空调等6大专业，实体模型数量不少于290个。</w:t>
            </w:r>
          </w:p>
          <w:p>
            <w:pPr>
              <w:pStyle w:val="2"/>
              <w:rPr>
                <w:rFonts w:hint="eastAsia"/>
              </w:rPr>
            </w:pPr>
            <w:r>
              <w:rPr>
                <w:rFonts w:hint="eastAsia"/>
              </w:rPr>
              <w:t>10.软件应支持导出IFC格式以及BIM5D格式，可直接导入BIM项目管理系统，进行项目施工管理，包含进度、成本、质量、安全等管理。</w:t>
            </w:r>
          </w:p>
          <w:p>
            <w:pPr>
              <w:pStyle w:val="2"/>
              <w:rPr>
                <w:rFonts w:hint="eastAsia"/>
              </w:rPr>
            </w:pPr>
            <w:r>
              <w:rPr>
                <w:rFonts w:hint="eastAsia"/>
              </w:rPr>
              <w:t>11.软件应具有多维度检查工程量，包含检查回路、漏量检查、漏项检查、属性检查和设计规范检查等多种检查功能。</w:t>
            </w:r>
          </w:p>
          <w:p>
            <w:pPr>
              <w:pStyle w:val="2"/>
              <w:rPr>
                <w:rFonts w:hint="eastAsia"/>
              </w:rPr>
            </w:pPr>
            <w:r>
              <w:rPr>
                <w:rFonts w:hint="eastAsia"/>
              </w:rPr>
              <w:t>二、BIM安装计量考试平台</w:t>
            </w:r>
          </w:p>
          <w:p>
            <w:pPr>
              <w:pStyle w:val="2"/>
              <w:rPr>
                <w:rFonts w:hint="eastAsia"/>
              </w:rPr>
            </w:pPr>
            <w:r>
              <w:rPr>
                <w:rFonts w:hint="eastAsia"/>
              </w:rPr>
              <w:t>1、 该考试平台包括题库管理模块、试卷库管理模块、考试管理模块、学生管理模块、练习模块等五大模块；</w:t>
            </w:r>
          </w:p>
          <w:p>
            <w:pPr>
              <w:pStyle w:val="2"/>
              <w:rPr>
                <w:rFonts w:hint="eastAsia"/>
              </w:rPr>
            </w:pPr>
            <w:r>
              <w:rPr>
                <w:rFonts w:hint="eastAsia"/>
              </w:rPr>
              <w:t>2、 该考试平台支持单选题、多选题、判断题、实操题、区间填空题等题型，能够批量导入试题，批量导入时支持试题中含有图片、附件等内容；</w:t>
            </w:r>
          </w:p>
          <w:p>
            <w:pPr>
              <w:pStyle w:val="2"/>
              <w:rPr>
                <w:rFonts w:hint="eastAsia"/>
              </w:rPr>
            </w:pPr>
            <w:r>
              <w:rPr>
                <w:rFonts w:hint="eastAsia"/>
              </w:rPr>
              <w:t>3、 多选题的评分可支持少选得部分分，多选或错选不得分；</w:t>
            </w:r>
          </w:p>
          <w:p>
            <w:pPr>
              <w:pStyle w:val="2"/>
              <w:rPr>
                <w:rFonts w:hint="eastAsia"/>
              </w:rPr>
            </w:pPr>
            <w:r>
              <w:rPr>
                <w:rFonts w:hint="eastAsia"/>
              </w:rPr>
              <w:t>4、 该考试平台能够支持课堂练习、课后作业、结课考试、校内竞赛等场景的使用要求；</w:t>
            </w:r>
          </w:p>
          <w:p>
            <w:pPr>
              <w:pStyle w:val="2"/>
              <w:rPr>
                <w:rFonts w:hint="eastAsia"/>
              </w:rPr>
            </w:pPr>
            <w:r>
              <w:rPr>
                <w:rFonts w:hint="eastAsia"/>
              </w:rPr>
              <w:t>5、 该考试平台具有防作弊功能，能够有效避免学生考试作弊；</w:t>
            </w:r>
          </w:p>
          <w:p>
            <w:pPr>
              <w:pStyle w:val="2"/>
              <w:rPr>
                <w:rFonts w:hint="eastAsia"/>
              </w:rPr>
            </w:pPr>
            <w:r>
              <w:rPr>
                <w:rFonts w:hint="eastAsia"/>
              </w:rPr>
              <w:t>（1）举办实操题考试时，可设定学生只能提交该考生现场作答的工程，无法提交之前做好的工程或其他学生的作答工程；</w:t>
            </w:r>
          </w:p>
          <w:p>
            <w:pPr>
              <w:pStyle w:val="2"/>
              <w:rPr>
                <w:rFonts w:hint="eastAsia"/>
              </w:rPr>
            </w:pPr>
            <w:r>
              <w:rPr>
                <w:rFonts w:hint="eastAsia"/>
              </w:rPr>
              <w:t>（2）举办实操题考试时，能够直接对学生作答的工程文件进行评分；</w:t>
            </w:r>
          </w:p>
          <w:p>
            <w:pPr>
              <w:pStyle w:val="2"/>
              <w:rPr>
                <w:rFonts w:hint="eastAsia"/>
              </w:rPr>
            </w:pPr>
            <w:r>
              <w:rPr>
                <w:rFonts w:hint="eastAsia"/>
              </w:rPr>
              <w:t>（3）举办客观题考试时，能够打乱试题顺序；</w:t>
            </w:r>
          </w:p>
          <w:p>
            <w:pPr>
              <w:pStyle w:val="2"/>
              <w:rPr>
                <w:rFonts w:hint="eastAsia"/>
              </w:rPr>
            </w:pPr>
            <w:r>
              <w:rPr>
                <w:rFonts w:hint="eastAsia"/>
              </w:rPr>
              <w:t>6、 该考试平台具有一键评分功能，且能够出具详细的评分报告；</w:t>
            </w:r>
          </w:p>
          <w:p>
            <w:pPr>
              <w:pStyle w:val="2"/>
              <w:rPr>
                <w:rFonts w:hint="eastAsia"/>
              </w:rPr>
            </w:pPr>
            <w:r>
              <w:rPr>
                <w:rFonts w:hint="eastAsia"/>
              </w:rPr>
              <w:t>7、 学生管理模块，可对学生的帐号、密码、学号等信息进行管理；</w:t>
            </w:r>
          </w:p>
          <w:p>
            <w:pPr>
              <w:pStyle w:val="2"/>
              <w:rPr>
                <w:rFonts w:hint="eastAsia"/>
              </w:rPr>
            </w:pPr>
            <w:r>
              <w:rPr>
                <w:rFonts w:hint="eastAsia"/>
              </w:rPr>
              <w:t>8、 系统提供考试监控功能，考试过程及结束后，可随时查看参考人数、交卷人数、作答人数等；</w:t>
            </w:r>
          </w:p>
          <w:p>
            <w:pPr>
              <w:pStyle w:val="2"/>
              <w:rPr>
                <w:rFonts w:hint="eastAsia"/>
              </w:rPr>
            </w:pPr>
            <w:r>
              <w:rPr>
                <w:rFonts w:hint="eastAsia"/>
              </w:rPr>
              <w:t>9、 考试管理功能，考试过程中可随时增加学生；</w:t>
            </w:r>
          </w:p>
          <w:p>
            <w:pPr>
              <w:pStyle w:val="2"/>
              <w:rPr>
                <w:rFonts w:hint="eastAsia"/>
              </w:rPr>
            </w:pPr>
            <w:r>
              <w:rPr>
                <w:rFonts w:hint="eastAsia"/>
              </w:rPr>
              <w:t>10、 考试结果汇总功能，考试结束后可统一导出excel成绩单及评分报告；</w:t>
            </w:r>
          </w:p>
          <w:p>
            <w:pPr>
              <w:pStyle w:val="2"/>
              <w:rPr>
                <w:rFonts w:hint="eastAsia"/>
              </w:rPr>
            </w:pPr>
            <w:r>
              <w:rPr>
                <w:rFonts w:hint="eastAsia"/>
              </w:rPr>
              <w:t>11、 对于考试时间，可设置任意时长的考试，可控制考生进入考试的次数，也可以控制考生单次进入考试作答的时长；</w:t>
            </w:r>
          </w:p>
          <w:p>
            <w:pPr>
              <w:pStyle w:val="2"/>
              <w:rPr>
                <w:rFonts w:hint="eastAsia"/>
              </w:rPr>
            </w:pPr>
            <w:r>
              <w:rPr>
                <w:rFonts w:hint="eastAsia"/>
              </w:rPr>
              <w:t>12、 系统采用B/S架构，开发语言采用当前最流行的JAVA（ALAX）异步数据传输技术，保障各项数据的安排。</w:t>
            </w:r>
          </w:p>
          <w:p>
            <w:pPr>
              <w:pStyle w:val="2"/>
              <w:rPr>
                <w:rFonts w:hint="eastAsia"/>
              </w:rPr>
            </w:pPr>
            <w:r>
              <w:rPr>
                <w:rFonts w:hint="eastAsia"/>
              </w:rPr>
              <w:t>13、系统单台服务器节点支持500人并发，能够同时与服务器进行对话。</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3</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广联达BIM土建计量平台GTJ2021</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rPr>
            </w:pPr>
            <w:r>
              <w:rPr>
                <w:rFonts w:hint="eastAsia"/>
              </w:rPr>
              <w:t>钢筋模块</w:t>
            </w:r>
          </w:p>
          <w:p>
            <w:pPr>
              <w:pStyle w:val="2"/>
              <w:rPr>
                <w:rFonts w:hint="eastAsia"/>
              </w:rPr>
            </w:pPr>
            <w:r>
              <w:rPr>
                <w:rFonts w:hint="eastAsia"/>
              </w:rPr>
              <w:t xml:space="preserve">1.软件基于独立自主平台开发，支持兼容 Revit 平台模型导入，内置国家规范、钢筋平法规范快速，支持导入CAD图纸识别配置、计算钢筋，准确计算出工程量，软件自动考虑构件之间的关联和扣减，内置规则也可修改； </w:t>
            </w:r>
          </w:p>
          <w:p>
            <w:pPr>
              <w:pStyle w:val="2"/>
              <w:rPr>
                <w:rFonts w:hint="eastAsia"/>
              </w:rPr>
            </w:pPr>
            <w:r>
              <w:rPr>
                <w:rFonts w:hint="eastAsia"/>
              </w:rPr>
              <w:t>2. 支持导入.dwg 图纸，利用图纸中的图形和标注信息快速识别钢筋对象来建立算量模型，绘图建模为补充、辅以表格输入，简化建模过程，提高建模效率，降低学习成本。</w:t>
            </w:r>
          </w:p>
          <w:p>
            <w:pPr>
              <w:pStyle w:val="2"/>
              <w:rPr>
                <w:rFonts w:hint="eastAsia"/>
              </w:rPr>
            </w:pPr>
            <w:r>
              <w:rPr>
                <w:rFonts w:hint="eastAsia"/>
              </w:rPr>
              <w:t xml:space="preserve">3. 钢筋软件三维实体可视化计算，可直观清晰的判断平面与三维的关系，三维图形真实再现，学生学习起来直观高效。 </w:t>
            </w:r>
          </w:p>
          <w:p>
            <w:pPr>
              <w:pStyle w:val="2"/>
              <w:rPr>
                <w:rFonts w:hint="eastAsia"/>
              </w:rPr>
            </w:pPr>
            <w:r>
              <w:rPr>
                <w:rFonts w:hint="eastAsia"/>
              </w:rPr>
              <w:t>4、实时查看构件的钢筋的总量、明细量以及钢筋三维模型和扣减计算，计算结果有详细的公式描述，并可查询软件对应于构件的计算规则，方便学生学习。</w:t>
            </w:r>
          </w:p>
          <w:p>
            <w:pPr>
              <w:pStyle w:val="2"/>
              <w:rPr>
                <w:rFonts w:hint="eastAsia"/>
              </w:rPr>
            </w:pPr>
            <w:r>
              <w:rPr>
                <w:rFonts w:hint="eastAsia"/>
              </w:rPr>
              <w:t>5. 钢筋软件报表种类齐全，可满足各种不同需求，工程量计算结果支持多种方式统计分析。</w:t>
            </w:r>
          </w:p>
          <w:p>
            <w:pPr>
              <w:pStyle w:val="2"/>
              <w:rPr>
                <w:rFonts w:hint="eastAsia"/>
              </w:rPr>
            </w:pPr>
            <w:r>
              <w:rPr>
                <w:rFonts w:hint="eastAsia"/>
              </w:rPr>
              <w:t>6.能够通过云技术的检查功能，对设置合理性、建模遗漏、属性合理性、建模合理性进行检查；输出确定错误、疑似错误、提醒三类结果。能够逐条检查和确认，双击直接定位；供了方便实用的模型修整功能，可以自动或手动处理修整模型，减少老师阅卷时间，学生可以通过自检初步排查自己的错误。</w:t>
            </w:r>
          </w:p>
          <w:p>
            <w:pPr>
              <w:pStyle w:val="2"/>
              <w:rPr>
                <w:rFonts w:hint="eastAsia"/>
              </w:rPr>
            </w:pPr>
            <w:r>
              <w:rPr>
                <w:rFonts w:hint="eastAsia"/>
              </w:rPr>
              <w:t>7. 支持在线自动套取清单定额，并可制作外部清单定额的模板，对初学者起到帮助引导作用。</w:t>
            </w:r>
          </w:p>
          <w:p>
            <w:pPr>
              <w:pStyle w:val="2"/>
              <w:rPr>
                <w:rFonts w:hint="eastAsia"/>
              </w:rPr>
            </w:pPr>
            <w:r>
              <w:rPr>
                <w:rFonts w:hint="eastAsia"/>
              </w:rPr>
              <w:t>9. 支持最新国家规范22G 计算规则，最新的规则最新的知识，方便学生学习行业最新规则。</w:t>
            </w:r>
          </w:p>
          <w:p>
            <w:pPr>
              <w:pStyle w:val="2"/>
              <w:rPr>
                <w:rFonts w:hint="eastAsia"/>
              </w:rPr>
            </w:pPr>
            <w:r>
              <w:rPr>
                <w:rFonts w:hint="eastAsia"/>
              </w:rPr>
              <w:t>土建模块</w:t>
            </w:r>
          </w:p>
          <w:p>
            <w:pPr>
              <w:pStyle w:val="2"/>
              <w:rPr>
                <w:rFonts w:hint="eastAsia"/>
              </w:rPr>
            </w:pPr>
            <w:r>
              <w:rPr>
                <w:rFonts w:hint="eastAsia"/>
              </w:rPr>
              <w:t>1.软件基于独立自主平台开发，支持兼容 Revit 平台模型导入，内置国标清单计算规则和全国各地定额规则快速、准确计算出工程量；包含建筑、结构、装饰、幕墙等专业</w:t>
            </w:r>
          </w:p>
          <w:p>
            <w:pPr>
              <w:pStyle w:val="2"/>
              <w:rPr>
                <w:rFonts w:hint="eastAsia"/>
              </w:rPr>
            </w:pPr>
            <w:r>
              <w:rPr>
                <w:rFonts w:hint="eastAsia"/>
              </w:rPr>
              <w:t xml:space="preserve">2. 采用三维立体建模的方式，工程均可以三维显示。 </w:t>
            </w:r>
          </w:p>
          <w:p>
            <w:pPr>
              <w:pStyle w:val="2"/>
              <w:rPr>
                <w:rFonts w:hint="eastAsia"/>
              </w:rPr>
            </w:pPr>
            <w:r>
              <w:rPr>
                <w:rFonts w:hint="eastAsia"/>
              </w:rPr>
              <w:t>3.能够支持查看各类构件的汇总工程量计明细量，有详细的公式描述，并可查询对应构件的计算规则</w:t>
            </w:r>
          </w:p>
          <w:p>
            <w:pPr>
              <w:pStyle w:val="2"/>
              <w:rPr>
                <w:rFonts w:hint="eastAsia"/>
              </w:rPr>
            </w:pPr>
            <w:r>
              <w:rPr>
                <w:rFonts w:hint="eastAsia"/>
              </w:rPr>
              <w:t xml:space="preserve">4. 强大的报表功能，支持多报表输出，工程量反查，工程量全屏幕标注，工程量计算结果多种方式统计分析，应用于工程建设全过程管理。 </w:t>
            </w:r>
          </w:p>
          <w:p>
            <w:pPr>
              <w:pStyle w:val="2"/>
              <w:rPr>
                <w:rFonts w:hint="eastAsia"/>
              </w:rPr>
            </w:pPr>
            <w:r>
              <w:rPr>
                <w:rFonts w:hint="eastAsia"/>
              </w:rPr>
              <w:t>5.能够通过云技术的检查功能，对设置合理性、建模遗漏、属性合理性、建模合理性进行检查；输出确定错误、疑似错误、提醒三类结果。能够逐条检查和确认，双击直接定位；供了方便实用的模型修整功能，可以自动或手动处理修整模型；</w:t>
            </w:r>
          </w:p>
          <w:p>
            <w:pPr>
              <w:pStyle w:val="2"/>
              <w:rPr>
                <w:rFonts w:hint="eastAsia"/>
              </w:rPr>
            </w:pPr>
            <w:r>
              <w:rPr>
                <w:rFonts w:hint="eastAsia"/>
              </w:rPr>
              <w:t xml:space="preserve">6. 支持自定义复杂组合构件、快速定义零星节点和复杂断面，并保存到云端。 </w:t>
            </w:r>
          </w:p>
          <w:p>
            <w:pPr>
              <w:pStyle w:val="2"/>
              <w:rPr>
                <w:rFonts w:hint="eastAsia"/>
              </w:rPr>
            </w:pPr>
            <w:r>
              <w:rPr>
                <w:rFonts w:hint="eastAsia"/>
              </w:rPr>
              <w:t>7. 支持在线自动套取清单定额，并可制作外部清单定额的模板。</w:t>
            </w:r>
          </w:p>
          <w:p>
            <w:pPr>
              <w:pStyle w:val="2"/>
              <w:rPr>
                <w:rFonts w:hint="eastAsia"/>
              </w:rPr>
            </w:pPr>
            <w:r>
              <w:rPr>
                <w:rFonts w:hint="eastAsia"/>
              </w:rPr>
              <w:t>8.软件支持导入模型到同一厂商的BIM管理平台，进行施工段的划分，并支持土方分割、后浇带节点设定</w:t>
            </w:r>
          </w:p>
          <w:p>
            <w:pPr>
              <w:pStyle w:val="2"/>
              <w:rPr>
                <w:rFonts w:hint="eastAsia"/>
              </w:rPr>
            </w:pPr>
            <w:r>
              <w:rPr>
                <w:rFonts w:hint="eastAsia"/>
              </w:rPr>
              <w:t>9、支持在临边洞口布置防护栏杆；</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节点</w:t>
            </w:r>
          </w:p>
        </w:tc>
      </w:tr>
    </w:tbl>
    <w:p>
      <w:pPr>
        <w:spacing w:after="120" w:afterLines="50" w:line="420" w:lineRule="exact"/>
        <w:rPr>
          <w:rFonts w:hint="eastAsia" w:ascii="宋体" w:hAnsi="宋体" w:cs="宋体"/>
          <w:b/>
          <w:bCs/>
          <w:sz w:val="24"/>
        </w:rPr>
      </w:pPr>
    </w:p>
    <w:p>
      <w:pPr>
        <w:pStyle w:val="2"/>
        <w:rPr>
          <w:rFonts w:hint="eastAsia"/>
        </w:rPr>
      </w:pPr>
    </w:p>
    <w:p>
      <w:pPr>
        <w:spacing w:after="120" w:afterLines="50" w:line="420" w:lineRule="exact"/>
        <w:ind w:firstLine="482" w:firstLineChars="200"/>
        <w:rPr>
          <w:rFonts w:ascii="宋体" w:hAnsi="宋体" w:cs="宋体"/>
          <w:b/>
          <w:bCs/>
          <w:sz w:val="24"/>
        </w:rPr>
      </w:pPr>
      <w:r>
        <w:rPr>
          <w:rFonts w:hint="eastAsia" w:ascii="宋体" w:hAnsi="宋体" w:cs="宋体"/>
          <w:b/>
          <w:bCs/>
          <w:sz w:val="24"/>
        </w:rPr>
        <w:t xml:space="preserve">四、投标人应具备的资格条件： </w:t>
      </w:r>
    </w:p>
    <w:p>
      <w:pPr>
        <w:pStyle w:val="21"/>
        <w:spacing w:line="460" w:lineRule="exact"/>
        <w:ind w:firstLine="480" w:firstLineChars="200"/>
        <w:rPr>
          <w:rFonts w:hAnsi="宋体" w:cs="宋体"/>
          <w:color w:val="000000"/>
          <w:sz w:val="24"/>
          <w:szCs w:val="24"/>
        </w:rPr>
      </w:pPr>
      <w:bookmarkStart w:id="5" w:name="PO_供应商资格条件_1"/>
      <w:r>
        <w:rPr>
          <w:rFonts w:hint="eastAsia" w:hAnsi="宋体" w:cs="宋体"/>
          <w:color w:val="000000"/>
          <w:sz w:val="24"/>
          <w:szCs w:val="24"/>
        </w:rPr>
        <w:t>1、在中华人民共和国境内注册，具有独立法人资格的合法企业（提供营业执照副本、税务登记证副本、组织机构代码证副本）；</w:t>
      </w:r>
    </w:p>
    <w:p>
      <w:pPr>
        <w:pStyle w:val="21"/>
        <w:spacing w:line="460" w:lineRule="exact"/>
        <w:ind w:firstLine="480" w:firstLineChars="200"/>
        <w:rPr>
          <w:rFonts w:hAnsi="宋体" w:cs="宋体"/>
          <w:color w:val="000000"/>
          <w:sz w:val="24"/>
          <w:szCs w:val="24"/>
        </w:rPr>
      </w:pPr>
      <w:r>
        <w:rPr>
          <w:rFonts w:hint="eastAsia" w:hAnsi="宋体" w:cs="宋体"/>
          <w:color w:val="000000"/>
          <w:sz w:val="24"/>
          <w:szCs w:val="24"/>
        </w:rPr>
        <w:t>2、参加此采购活动前三年内，在经营活动中没有重大违法记录；</w:t>
      </w:r>
    </w:p>
    <w:p>
      <w:pPr>
        <w:pStyle w:val="21"/>
        <w:spacing w:line="460" w:lineRule="exact"/>
        <w:ind w:firstLine="480" w:firstLineChars="200"/>
        <w:rPr>
          <w:rFonts w:hAnsi="宋体" w:cs="宋体"/>
          <w:color w:val="000000"/>
          <w:sz w:val="24"/>
          <w:szCs w:val="24"/>
        </w:rPr>
      </w:pPr>
      <w:r>
        <w:rPr>
          <w:rFonts w:hint="eastAsia" w:hAnsi="宋体" w:cs="宋体"/>
          <w:color w:val="000000"/>
          <w:sz w:val="24"/>
          <w:szCs w:val="24"/>
        </w:rPr>
        <w:t>3、不接受联合体投标。</w:t>
      </w:r>
    </w:p>
    <w:bookmarkEnd w:id="5"/>
    <w:p>
      <w:pPr>
        <w:spacing w:after="50" w:line="420" w:lineRule="exact"/>
        <w:ind w:firstLine="482" w:firstLineChars="200"/>
        <w:rPr>
          <w:rFonts w:ascii="宋体" w:hAnsi="宋体" w:cs="宋体"/>
          <w:b/>
          <w:bCs/>
          <w:sz w:val="24"/>
          <w:lang w:val="zh-CN"/>
        </w:rPr>
      </w:pPr>
      <w:r>
        <w:rPr>
          <w:rFonts w:hint="eastAsia" w:ascii="宋体" w:hAnsi="宋体" w:cs="宋体"/>
          <w:b/>
          <w:bCs/>
          <w:sz w:val="24"/>
          <w:lang w:val="zh-CN"/>
        </w:rPr>
        <w:t>五、资格审查：</w:t>
      </w:r>
    </w:p>
    <w:p>
      <w:pPr>
        <w:spacing w:after="50" w:line="420" w:lineRule="exact"/>
        <w:ind w:firstLine="480" w:firstLineChars="200"/>
        <w:rPr>
          <w:rFonts w:ascii="宋体" w:hAnsi="宋体" w:cs="宋体"/>
          <w:bCs/>
          <w:color w:val="000000"/>
          <w:sz w:val="24"/>
          <w:lang w:val="zh-CN"/>
        </w:rPr>
      </w:pPr>
      <w:bookmarkStart w:id="6" w:name="PO_默认文件内容_2"/>
      <w:r>
        <w:rPr>
          <w:rFonts w:hint="eastAsia" w:ascii="宋体" w:hAnsi="宋体" w:cs="宋体"/>
          <w:bCs/>
          <w:color w:val="000000"/>
          <w:sz w:val="24"/>
          <w:lang w:val="zh-CN"/>
        </w:rPr>
        <w:t>除明确要求在购买招标文件时需提供的资格证明文件外，本项目投标供应商的资格条件在评标时进行审查。供应商应在投标文件中按招标文件的规定和要求附上所有的资格证明文件，要求提供的复印件的必须加盖单位印章，并在必要时提供原件备查。若提供的资格证明文件不全或不实，将导致其投标或中标资格被取消。</w:t>
      </w:r>
    </w:p>
    <w:bookmarkEnd w:id="6"/>
    <w:p>
      <w:pPr>
        <w:spacing w:after="50" w:line="420" w:lineRule="exact"/>
        <w:ind w:firstLine="482" w:firstLineChars="200"/>
        <w:rPr>
          <w:rFonts w:ascii="宋体" w:hAnsi="宋体" w:cs="宋体"/>
          <w:b/>
          <w:sz w:val="24"/>
        </w:rPr>
      </w:pPr>
      <w:r>
        <w:rPr>
          <w:rFonts w:hint="eastAsia" w:ascii="宋体" w:hAnsi="宋体" w:cs="宋体"/>
          <w:b/>
          <w:sz w:val="24"/>
        </w:rPr>
        <w:t>六、招标文件获取时间、地点：</w:t>
      </w:r>
    </w:p>
    <w:p>
      <w:pPr>
        <w:spacing w:after="120" w:afterLines="50" w:line="420" w:lineRule="exact"/>
        <w:ind w:firstLine="480" w:firstLineChars="200"/>
        <w:rPr>
          <w:rFonts w:ascii="宋体" w:hAnsi="宋体" w:cs="宋体"/>
          <w:sz w:val="24"/>
          <w:highlight w:val="none"/>
        </w:rPr>
      </w:pPr>
      <w:bookmarkStart w:id="7" w:name="PO_默认文件内容_47"/>
      <w:r>
        <w:rPr>
          <w:rFonts w:hint="eastAsia" w:ascii="宋体" w:hAnsi="宋体" w:cs="宋体"/>
          <w:sz w:val="24"/>
          <w:highlight w:val="none"/>
        </w:rPr>
        <w:t>招标文件自202</w:t>
      </w:r>
      <w:r>
        <w:rPr>
          <w:rFonts w:hint="eastAsia" w:ascii="宋体" w:hAnsi="宋体" w:cs="宋体"/>
          <w:sz w:val="24"/>
          <w:highlight w:val="none"/>
          <w:lang w:val="en-US" w:eastAsia="zh-CN"/>
        </w:rPr>
        <w:t>3</w:t>
      </w:r>
      <w:r>
        <w:rPr>
          <w:rFonts w:hint="eastAsia" w:ascii="宋体" w:hAnsi="宋体" w:cs="宋体"/>
          <w:sz w:val="24"/>
          <w:highlight w:val="none"/>
        </w:rPr>
        <w:t>年</w:t>
      </w:r>
      <w:r>
        <w:rPr>
          <w:rFonts w:hint="eastAsia" w:ascii="宋体" w:hAnsi="宋体" w:cs="宋体"/>
          <w:sz w:val="24"/>
          <w:highlight w:val="none"/>
          <w:lang w:val="en-US" w:eastAsia="zh-CN"/>
        </w:rPr>
        <w:t>10</w:t>
      </w:r>
      <w:r>
        <w:rPr>
          <w:rFonts w:hint="eastAsia" w:ascii="宋体" w:hAnsi="宋体" w:cs="宋体"/>
          <w:sz w:val="24"/>
          <w:highlight w:val="none"/>
        </w:rPr>
        <w:t>月</w:t>
      </w:r>
      <w:r>
        <w:rPr>
          <w:rFonts w:hint="eastAsia" w:ascii="宋体" w:hAnsi="宋体" w:cs="宋体"/>
          <w:sz w:val="24"/>
          <w:highlight w:val="none"/>
          <w:lang w:val="en-US" w:eastAsia="zh-CN"/>
        </w:rPr>
        <w:t>10</w:t>
      </w:r>
      <w:r>
        <w:rPr>
          <w:rFonts w:hint="eastAsia" w:ascii="宋体" w:hAnsi="宋体" w:cs="宋体"/>
          <w:sz w:val="24"/>
          <w:highlight w:val="none"/>
        </w:rPr>
        <w:t>日至202</w:t>
      </w:r>
      <w:r>
        <w:rPr>
          <w:rFonts w:hint="eastAsia" w:ascii="宋体" w:hAnsi="宋体" w:cs="宋体"/>
          <w:sz w:val="24"/>
          <w:highlight w:val="none"/>
          <w:lang w:val="en-US" w:eastAsia="zh-CN"/>
        </w:rPr>
        <w:t>3</w:t>
      </w:r>
      <w:r>
        <w:rPr>
          <w:rFonts w:hint="eastAsia" w:ascii="宋体" w:hAnsi="宋体" w:cs="宋体"/>
          <w:sz w:val="24"/>
          <w:highlight w:val="none"/>
        </w:rPr>
        <w:t>年</w:t>
      </w:r>
      <w:r>
        <w:rPr>
          <w:rFonts w:hint="eastAsia" w:ascii="宋体" w:hAnsi="宋体" w:cs="宋体"/>
          <w:sz w:val="24"/>
          <w:highlight w:val="none"/>
          <w:lang w:val="en-US" w:eastAsia="zh-CN"/>
        </w:rPr>
        <w:t>11</w:t>
      </w:r>
      <w:r>
        <w:rPr>
          <w:rFonts w:hint="eastAsia" w:ascii="宋体" w:hAnsi="宋体" w:cs="宋体"/>
          <w:sz w:val="24"/>
          <w:highlight w:val="none"/>
        </w:rPr>
        <w:t>月</w:t>
      </w:r>
      <w:r>
        <w:rPr>
          <w:rFonts w:hint="eastAsia" w:ascii="宋体" w:hAnsi="宋体" w:cs="宋体"/>
          <w:sz w:val="24"/>
          <w:highlight w:val="none"/>
          <w:lang w:val="en-US" w:eastAsia="zh-CN"/>
        </w:rPr>
        <w:t>05</w:t>
      </w:r>
      <w:r>
        <w:rPr>
          <w:rFonts w:hint="eastAsia" w:ascii="宋体" w:hAnsi="宋体" w:cs="宋体"/>
          <w:sz w:val="24"/>
          <w:highlight w:val="none"/>
        </w:rPr>
        <w:t>日每天上午9:00- 12:00，下午13:00-17:30（北京时间，法定节假日除外）在我校指定网站(http://www.cqjy.edu.cn/)下载，下载后告知招标方联系人。</w:t>
      </w:r>
    </w:p>
    <w:p>
      <w:pPr>
        <w:numPr>
          <w:ilvl w:val="0"/>
          <w:numId w:val="2"/>
        </w:numPr>
        <w:spacing w:after="120" w:afterLines="50" w:line="420" w:lineRule="exact"/>
        <w:ind w:firstLine="482" w:firstLineChars="200"/>
        <w:rPr>
          <w:rFonts w:hint="eastAsia" w:ascii="宋体" w:hAnsi="宋体" w:cs="宋体"/>
          <w:sz w:val="24"/>
          <w:szCs w:val="28"/>
          <w:highlight w:val="none"/>
        </w:rPr>
      </w:pPr>
      <w:r>
        <w:rPr>
          <w:rFonts w:hint="eastAsia" w:ascii="宋体" w:hAnsi="宋体" w:cs="宋体"/>
          <w:b/>
          <w:sz w:val="24"/>
          <w:highlight w:val="none"/>
        </w:rPr>
        <w:t>投标截止时间</w:t>
      </w:r>
      <w:bookmarkEnd w:id="7"/>
      <w:r>
        <w:rPr>
          <w:rFonts w:hint="eastAsia" w:ascii="宋体" w:hAnsi="宋体" w:cs="宋体"/>
          <w:b/>
          <w:sz w:val="24"/>
          <w:highlight w:val="none"/>
        </w:rPr>
        <w:t>：</w:t>
      </w:r>
      <w:r>
        <w:rPr>
          <w:rFonts w:hint="eastAsia" w:ascii="宋体" w:hAnsi="宋体" w:cs="宋体"/>
          <w:b/>
          <w:bCs/>
          <w:sz w:val="24"/>
          <w:highlight w:val="none"/>
        </w:rPr>
        <w:t>202</w:t>
      </w:r>
      <w:r>
        <w:rPr>
          <w:rFonts w:hint="eastAsia" w:ascii="宋体" w:hAnsi="宋体" w:cs="宋体"/>
          <w:b/>
          <w:bCs/>
          <w:sz w:val="24"/>
          <w:highlight w:val="none"/>
          <w:lang w:val="en-US" w:eastAsia="zh-CN"/>
        </w:rPr>
        <w:t>3</w:t>
      </w:r>
      <w:r>
        <w:rPr>
          <w:rFonts w:hint="eastAsia" w:ascii="宋体" w:hAnsi="宋体" w:cs="宋体"/>
          <w:b/>
          <w:bCs/>
          <w:sz w:val="24"/>
          <w:highlight w:val="none"/>
        </w:rPr>
        <w:t>年</w:t>
      </w:r>
      <w:r>
        <w:rPr>
          <w:rFonts w:hint="eastAsia" w:ascii="宋体" w:hAnsi="宋体" w:cs="宋体"/>
          <w:b/>
          <w:bCs/>
          <w:sz w:val="24"/>
          <w:highlight w:val="none"/>
          <w:lang w:val="en-US" w:eastAsia="zh-CN"/>
        </w:rPr>
        <w:t>11月06</w:t>
      </w:r>
      <w:r>
        <w:rPr>
          <w:rFonts w:hint="eastAsia" w:ascii="宋体" w:hAnsi="宋体" w:cs="宋体"/>
          <w:b/>
          <w:bCs/>
          <w:sz w:val="24"/>
          <w:highlight w:val="none"/>
        </w:rPr>
        <w:t>日</w:t>
      </w:r>
      <w:r>
        <w:rPr>
          <w:rFonts w:hint="eastAsia" w:ascii="宋体" w:hAnsi="宋体" w:cs="宋体"/>
          <w:b/>
          <w:bCs/>
          <w:sz w:val="24"/>
          <w:highlight w:val="none"/>
          <w:lang w:val="en-US" w:eastAsia="zh-CN"/>
        </w:rPr>
        <w:t>9:00</w:t>
      </w:r>
      <w:r>
        <w:rPr>
          <w:rFonts w:hint="eastAsia" w:ascii="宋体" w:hAnsi="宋体" w:cs="宋体"/>
          <w:b/>
          <w:bCs/>
          <w:sz w:val="24"/>
          <w:highlight w:val="none"/>
        </w:rPr>
        <w:t>（北京时间）</w:t>
      </w:r>
    </w:p>
    <w:p>
      <w:pPr>
        <w:numPr>
          <w:ilvl w:val="0"/>
          <w:numId w:val="0"/>
        </w:numPr>
        <w:spacing w:after="120" w:afterLines="50" w:line="420" w:lineRule="exact"/>
        <w:ind w:firstLine="1446" w:firstLineChars="600"/>
        <w:rPr>
          <w:rFonts w:hint="default" w:ascii="宋体" w:hAnsi="宋体" w:eastAsia="宋体" w:cs="宋体"/>
          <w:b/>
          <w:bCs/>
          <w:sz w:val="24"/>
          <w:szCs w:val="28"/>
          <w:highlight w:val="none"/>
          <w:lang w:val="en-US" w:eastAsia="zh-CN"/>
        </w:rPr>
      </w:pPr>
      <w:r>
        <w:rPr>
          <w:rFonts w:hint="eastAsia" w:ascii="宋体" w:hAnsi="宋体" w:cs="宋体"/>
          <w:b/>
          <w:bCs/>
          <w:sz w:val="24"/>
          <w:szCs w:val="28"/>
          <w:highlight w:val="none"/>
          <w:lang w:val="en-US" w:eastAsia="zh-CN"/>
        </w:rPr>
        <w:t>开标时间：2023年11月06日9:00（北京时间）</w:t>
      </w:r>
    </w:p>
    <w:p>
      <w:pPr>
        <w:pStyle w:val="8"/>
        <w:spacing w:after="120" w:afterLines="50" w:line="420" w:lineRule="exact"/>
        <w:ind w:firstLine="480"/>
        <w:rPr>
          <w:rFonts w:ascii="宋体" w:hAnsi="宋体" w:cs="宋体"/>
          <w:sz w:val="24"/>
          <w:szCs w:val="28"/>
        </w:rPr>
      </w:pPr>
      <w:bookmarkStart w:id="8" w:name="PO_默认文件内容_22"/>
      <w:r>
        <w:rPr>
          <w:rFonts w:hint="eastAsia" w:ascii="宋体" w:hAnsi="宋体" w:cs="宋体"/>
          <w:sz w:val="24"/>
          <w:szCs w:val="28"/>
        </w:rPr>
        <w:t>投标文件必须在投标截止时间前送达开标地点。逾期送达或密封和标注不符合招标文件规定的投标文件恕不接受。本次招标不接受邮寄的投标文件。</w:t>
      </w:r>
    </w:p>
    <w:bookmarkEnd w:id="8"/>
    <w:p>
      <w:pPr>
        <w:spacing w:after="50" w:line="420" w:lineRule="exact"/>
        <w:ind w:firstLine="482" w:firstLineChars="200"/>
        <w:rPr>
          <w:rFonts w:ascii="宋体" w:hAnsi="宋体" w:cs="宋体"/>
          <w:b/>
          <w:sz w:val="24"/>
        </w:rPr>
      </w:pPr>
      <w:r>
        <w:rPr>
          <w:rFonts w:hint="eastAsia" w:ascii="宋体" w:hAnsi="宋体" w:cs="宋体"/>
          <w:b/>
          <w:sz w:val="24"/>
        </w:rPr>
        <w:t>八、开标地点:重庆交通职业学院。</w:t>
      </w:r>
    </w:p>
    <w:p>
      <w:pPr>
        <w:pStyle w:val="22"/>
        <w:spacing w:line="420" w:lineRule="exact"/>
        <w:ind w:firstLine="482"/>
        <w:rPr>
          <w:rFonts w:ascii="宋体" w:hAnsi="宋体" w:cs="宋体"/>
          <w:b/>
          <w:sz w:val="24"/>
          <w:szCs w:val="28"/>
        </w:rPr>
      </w:pPr>
      <w:bookmarkStart w:id="9" w:name="PO_默认文件内容_46"/>
      <w:r>
        <w:rPr>
          <w:rFonts w:hint="eastAsia" w:ascii="宋体" w:hAnsi="宋体" w:cs="宋体"/>
          <w:b/>
          <w:sz w:val="24"/>
        </w:rPr>
        <w:t>九、本投标邀请在重庆交通职业学院官网以公告形式发布</w:t>
      </w:r>
      <w:bookmarkEnd w:id="9"/>
    </w:p>
    <w:p>
      <w:pPr>
        <w:pStyle w:val="22"/>
        <w:spacing w:line="420" w:lineRule="exact"/>
        <w:ind w:firstLine="482"/>
        <w:rPr>
          <w:rFonts w:ascii="宋体" w:hAnsi="宋体" w:cs="宋体"/>
          <w:b/>
          <w:sz w:val="24"/>
        </w:rPr>
      </w:pPr>
      <w:r>
        <w:rPr>
          <w:rFonts w:hint="eastAsia" w:ascii="宋体" w:hAnsi="宋体" w:cs="宋体"/>
          <w:b/>
          <w:sz w:val="24"/>
        </w:rPr>
        <w:t>十、联系方式</w:t>
      </w:r>
    </w:p>
    <w:p>
      <w:pPr>
        <w:tabs>
          <w:tab w:val="left" w:pos="2310"/>
        </w:tabs>
        <w:spacing w:line="360" w:lineRule="auto"/>
        <w:ind w:right="420" w:rightChars="200" w:firstLine="1200" w:firstLineChars="500"/>
        <w:rPr>
          <w:rFonts w:ascii="宋体" w:hAnsi="宋体" w:cs="宋体"/>
          <w:sz w:val="24"/>
        </w:rPr>
      </w:pPr>
      <w:r>
        <w:rPr>
          <w:rFonts w:hint="eastAsia" w:ascii="宋体" w:hAnsi="宋体" w:cs="宋体"/>
          <w:sz w:val="24"/>
        </w:rPr>
        <w:t>招标人：重庆交通职业学院</w:t>
      </w:r>
    </w:p>
    <w:p>
      <w:pPr>
        <w:tabs>
          <w:tab w:val="left" w:pos="2310"/>
        </w:tabs>
        <w:spacing w:line="360" w:lineRule="auto"/>
        <w:ind w:right="420" w:rightChars="200" w:firstLine="1200" w:firstLineChars="500"/>
        <w:rPr>
          <w:rFonts w:hint="default" w:ascii="宋体" w:hAnsi="宋体" w:cs="宋体"/>
          <w:sz w:val="24"/>
          <w:lang w:val="en-US" w:eastAsia="zh-CN"/>
        </w:rPr>
      </w:pPr>
      <w:r>
        <w:rPr>
          <w:rFonts w:hint="eastAsia" w:ascii="宋体" w:hAnsi="宋体" w:cs="宋体"/>
          <w:sz w:val="24"/>
        </w:rPr>
        <w:t>联 系 人：</w:t>
      </w:r>
      <w:r>
        <w:rPr>
          <w:rFonts w:hint="eastAsia" w:ascii="宋体" w:hAnsi="宋体" w:cs="宋体"/>
          <w:sz w:val="24"/>
          <w:lang w:val="en-US" w:eastAsia="zh-CN"/>
        </w:rPr>
        <w:t>杜玲玲</w:t>
      </w:r>
    </w:p>
    <w:p>
      <w:pPr>
        <w:tabs>
          <w:tab w:val="left" w:pos="2310"/>
        </w:tabs>
        <w:spacing w:line="360" w:lineRule="auto"/>
        <w:ind w:right="420" w:rightChars="200" w:firstLine="1200" w:firstLineChars="500"/>
        <w:rPr>
          <w:rFonts w:hint="default" w:ascii="宋体" w:hAnsi="宋体" w:cs="宋体"/>
          <w:sz w:val="24"/>
          <w:lang w:val="en-US" w:eastAsia="zh-CN"/>
        </w:rPr>
      </w:pPr>
      <w:r>
        <w:rPr>
          <w:rFonts w:hint="eastAsia" w:ascii="宋体" w:hAnsi="宋体" w:cs="宋体"/>
          <w:sz w:val="24"/>
        </w:rPr>
        <w:t>电    话：</w:t>
      </w:r>
      <w:r>
        <w:rPr>
          <w:rFonts w:hint="eastAsia" w:ascii="宋体" w:hAnsi="宋体" w:cs="宋体"/>
          <w:sz w:val="24"/>
          <w:lang w:val="en-US" w:eastAsia="zh-CN"/>
        </w:rPr>
        <w:t>19923618015</w:t>
      </w:r>
    </w:p>
    <w:p>
      <w:pPr>
        <w:tabs>
          <w:tab w:val="left" w:pos="2310"/>
        </w:tabs>
        <w:spacing w:line="360" w:lineRule="auto"/>
        <w:ind w:right="420" w:rightChars="200" w:firstLine="1200" w:firstLineChars="500"/>
        <w:rPr>
          <w:rFonts w:ascii="宋体" w:hAnsi="宋体" w:cs="宋体"/>
          <w:sz w:val="24"/>
        </w:rPr>
      </w:pPr>
      <w:r>
        <w:rPr>
          <w:rFonts w:hint="eastAsia" w:ascii="宋体" w:hAnsi="宋体" w:cs="宋体"/>
          <w:sz w:val="24"/>
        </w:rPr>
        <w:t>联系地址：重庆市江津区双福街道祥福大道555号</w:t>
      </w:r>
    </w:p>
    <w:p>
      <w:pPr>
        <w:tabs>
          <w:tab w:val="left" w:pos="2310"/>
        </w:tabs>
        <w:spacing w:line="360" w:lineRule="auto"/>
        <w:ind w:right="420" w:rightChars="200" w:firstLine="1200" w:firstLineChars="500"/>
        <w:rPr>
          <w:rFonts w:ascii="宋体" w:hAnsi="宋体" w:cs="宋体"/>
          <w:sz w:val="24"/>
        </w:rPr>
      </w:pPr>
      <w:r>
        <w:rPr>
          <w:rFonts w:hint="eastAsia" w:ascii="宋体" w:hAnsi="宋体" w:cs="宋体"/>
          <w:sz w:val="24"/>
        </w:rPr>
        <w:t>邮编：402260</w:t>
      </w:r>
    </w:p>
    <w:p>
      <w:pPr>
        <w:pStyle w:val="13"/>
        <w:spacing w:after="50" w:afterAutospacing="0" w:line="420" w:lineRule="exact"/>
        <w:rPr>
          <w:rFonts w:ascii="宋体" w:cs="宋体"/>
          <w:b/>
        </w:rPr>
        <w:sectPr>
          <w:footerReference r:id="rId3" w:type="default"/>
          <w:pgSz w:w="11907" w:h="16840"/>
          <w:pgMar w:top="1440" w:right="896" w:bottom="1440" w:left="896" w:header="468" w:footer="992" w:gutter="0"/>
          <w:pgNumType w:start="1"/>
          <w:cols w:space="720" w:num="1"/>
          <w:docGrid w:linePitch="312" w:charSpace="0"/>
        </w:sectPr>
      </w:pPr>
    </w:p>
    <w:p>
      <w:pPr>
        <w:pStyle w:val="4"/>
        <w:spacing w:line="240" w:lineRule="atLeast"/>
        <w:jc w:val="center"/>
        <w:rPr>
          <w:rFonts w:ascii="宋体" w:hAnsi="宋体" w:cs="宋体"/>
          <w:bCs w:val="0"/>
          <w:sz w:val="36"/>
        </w:rPr>
      </w:pPr>
      <w:bookmarkStart w:id="10" w:name="_Toc213396759"/>
      <w:bookmarkStart w:id="11" w:name="_Toc213396945"/>
      <w:bookmarkStart w:id="12" w:name="_Toc217446031"/>
      <w:bookmarkStart w:id="13" w:name="_Toc375898984"/>
      <w:bookmarkStart w:id="14" w:name="_Toc213496267"/>
      <w:bookmarkStart w:id="15" w:name="_Toc213397009"/>
      <w:bookmarkStart w:id="16" w:name="_Toc89075871"/>
      <w:bookmarkStart w:id="17" w:name="_Toc183582202"/>
      <w:bookmarkStart w:id="18" w:name="_Toc183682339"/>
      <w:bookmarkStart w:id="19" w:name="_Toc77400776"/>
      <w:r>
        <w:rPr>
          <w:rFonts w:hint="eastAsia" w:ascii="宋体" w:hAnsi="宋体" w:cs="宋体"/>
          <w:bCs w:val="0"/>
          <w:sz w:val="36"/>
        </w:rPr>
        <w:t>第二章  投标人须知</w:t>
      </w:r>
      <w:bookmarkEnd w:id="10"/>
      <w:bookmarkEnd w:id="11"/>
      <w:bookmarkEnd w:id="12"/>
      <w:bookmarkEnd w:id="13"/>
      <w:bookmarkEnd w:id="14"/>
      <w:bookmarkEnd w:id="15"/>
      <w:bookmarkStart w:id="20" w:name="_Toc184274915"/>
      <w:bookmarkStart w:id="21" w:name="_Toc184283909"/>
    </w:p>
    <w:p>
      <w:pPr>
        <w:pStyle w:val="5"/>
        <w:spacing w:line="240" w:lineRule="atLeast"/>
        <w:jc w:val="center"/>
        <w:rPr>
          <w:rFonts w:ascii="宋体" w:hAnsi="宋体" w:eastAsia="宋体" w:cs="宋体"/>
        </w:rPr>
      </w:pPr>
      <w:bookmarkStart w:id="22" w:name="_Toc189727030"/>
      <w:bookmarkStart w:id="23" w:name="_Toc217446032"/>
      <w:bookmarkStart w:id="24" w:name="_Toc213396760"/>
      <w:bookmarkStart w:id="25" w:name="_Toc213396946"/>
      <w:bookmarkStart w:id="26" w:name="_Toc213496268"/>
      <w:bookmarkStart w:id="27" w:name="_Toc213397010"/>
      <w:r>
        <w:rPr>
          <w:rFonts w:hint="eastAsia" w:ascii="宋体" w:hAnsi="宋体" w:eastAsia="宋体" w:cs="宋体"/>
        </w:rPr>
        <w:t>投标人须知前附表</w:t>
      </w:r>
      <w:bookmarkEnd w:id="20"/>
      <w:bookmarkEnd w:id="21"/>
      <w:bookmarkEnd w:id="22"/>
      <w:bookmarkEnd w:id="23"/>
      <w:bookmarkEnd w:id="24"/>
      <w:bookmarkEnd w:id="25"/>
      <w:bookmarkEnd w:id="26"/>
      <w:bookmarkEnd w:id="27"/>
    </w:p>
    <w:tbl>
      <w:tblPr>
        <w:tblStyle w:val="14"/>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378"/>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2" w:type="dxa"/>
            <w:vAlign w:val="center"/>
          </w:tcPr>
          <w:p>
            <w:pPr>
              <w:pStyle w:val="23"/>
              <w:ind w:left="9"/>
              <w:jc w:val="center"/>
              <w:rPr>
                <w:sz w:val="21"/>
                <w:szCs w:val="21"/>
                <w:lang w:val="zh-CN"/>
              </w:rPr>
            </w:pPr>
            <w:r>
              <w:rPr>
                <w:rFonts w:hint="eastAsia"/>
                <w:sz w:val="21"/>
                <w:szCs w:val="21"/>
                <w:lang w:val="zh-CN"/>
              </w:rPr>
              <w:t>序号</w:t>
            </w:r>
          </w:p>
        </w:tc>
        <w:tc>
          <w:tcPr>
            <w:tcW w:w="2378" w:type="dxa"/>
            <w:vAlign w:val="center"/>
          </w:tcPr>
          <w:p>
            <w:pPr>
              <w:pStyle w:val="23"/>
              <w:ind w:left="38"/>
              <w:jc w:val="center"/>
              <w:rPr>
                <w:sz w:val="21"/>
                <w:szCs w:val="21"/>
                <w:lang w:val="zh-CN"/>
              </w:rPr>
            </w:pPr>
            <w:r>
              <w:rPr>
                <w:rFonts w:hint="eastAsia"/>
                <w:sz w:val="21"/>
                <w:szCs w:val="21"/>
                <w:lang w:val="zh-CN"/>
              </w:rPr>
              <w:t>条款名称</w:t>
            </w:r>
          </w:p>
        </w:tc>
        <w:tc>
          <w:tcPr>
            <w:tcW w:w="6111" w:type="dxa"/>
            <w:vAlign w:val="center"/>
          </w:tcPr>
          <w:p>
            <w:pPr>
              <w:pStyle w:val="23"/>
              <w:jc w:val="center"/>
              <w:rPr>
                <w:sz w:val="21"/>
                <w:szCs w:val="21"/>
                <w:lang w:val="zh-CN"/>
              </w:rPr>
            </w:pPr>
            <w:r>
              <w:rPr>
                <w:rFonts w:hint="eastAsia"/>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5" w:hRule="atLeast"/>
          <w:jc w:val="center"/>
        </w:trPr>
        <w:tc>
          <w:tcPr>
            <w:tcW w:w="1012" w:type="dxa"/>
            <w:vAlign w:val="center"/>
          </w:tcPr>
          <w:p>
            <w:pPr>
              <w:pStyle w:val="23"/>
              <w:numPr>
                <w:ilvl w:val="0"/>
                <w:numId w:val="3"/>
              </w:numPr>
              <w:ind w:right="230"/>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招标人</w:t>
            </w:r>
          </w:p>
        </w:tc>
        <w:tc>
          <w:tcPr>
            <w:tcW w:w="6111" w:type="dxa"/>
            <w:vAlign w:val="center"/>
          </w:tcPr>
          <w:p>
            <w:pPr>
              <w:pStyle w:val="23"/>
              <w:spacing w:line="360" w:lineRule="auto"/>
              <w:ind w:left="634" w:leftChars="102" w:hanging="420" w:hangingChars="200"/>
              <w:rPr>
                <w:sz w:val="21"/>
                <w:szCs w:val="21"/>
                <w:lang w:val="zh-CN"/>
              </w:rPr>
            </w:pPr>
            <w:r>
              <w:rPr>
                <w:rFonts w:hint="eastAsia"/>
                <w:sz w:val="21"/>
                <w:szCs w:val="21"/>
                <w:lang w:val="zh-CN"/>
              </w:rPr>
              <w:t>名称: 重庆交通职业学院</w:t>
            </w:r>
          </w:p>
          <w:p>
            <w:pPr>
              <w:pStyle w:val="23"/>
              <w:spacing w:line="360" w:lineRule="auto"/>
              <w:ind w:left="634" w:leftChars="102" w:hanging="420" w:hangingChars="200"/>
              <w:rPr>
                <w:rFonts w:hint="default"/>
                <w:sz w:val="21"/>
                <w:szCs w:val="21"/>
                <w:lang w:val="en-US" w:eastAsia="zh-CN"/>
              </w:rPr>
            </w:pPr>
            <w:r>
              <w:rPr>
                <w:rFonts w:hint="eastAsia"/>
                <w:sz w:val="21"/>
                <w:szCs w:val="21"/>
                <w:lang w:val="zh-CN"/>
              </w:rPr>
              <w:t>联系人：</w:t>
            </w:r>
            <w:r>
              <w:rPr>
                <w:rFonts w:hint="eastAsia"/>
                <w:sz w:val="21"/>
                <w:szCs w:val="21"/>
                <w:lang w:val="en-US" w:eastAsia="zh-CN"/>
              </w:rPr>
              <w:t>杜玲玲</w:t>
            </w:r>
          </w:p>
          <w:p>
            <w:pPr>
              <w:pStyle w:val="23"/>
              <w:spacing w:line="360" w:lineRule="auto"/>
              <w:ind w:left="634" w:leftChars="102" w:hanging="420" w:hangingChars="200"/>
              <w:rPr>
                <w:rFonts w:hint="default"/>
                <w:sz w:val="21"/>
                <w:szCs w:val="21"/>
                <w:lang w:val="en-US"/>
              </w:rPr>
            </w:pPr>
            <w:r>
              <w:rPr>
                <w:rFonts w:hint="eastAsia"/>
                <w:sz w:val="21"/>
                <w:szCs w:val="21"/>
                <w:lang w:val="zh-CN"/>
              </w:rPr>
              <w:t>电话：</w:t>
            </w:r>
            <w:r>
              <w:rPr>
                <w:rFonts w:hint="eastAsia"/>
                <w:sz w:val="21"/>
                <w:szCs w:val="21"/>
                <w:lang w:val="en-US" w:eastAsia="zh-CN"/>
              </w:rPr>
              <w:t>19923618015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8" w:hRule="exact"/>
          <w:jc w:val="center"/>
        </w:trPr>
        <w:tc>
          <w:tcPr>
            <w:tcW w:w="1012" w:type="dxa"/>
            <w:vAlign w:val="center"/>
          </w:tcPr>
          <w:p>
            <w:pPr>
              <w:pStyle w:val="23"/>
              <w:numPr>
                <w:ilvl w:val="0"/>
                <w:numId w:val="3"/>
              </w:numPr>
              <w:ind w:right="230"/>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招标项目名称</w:t>
            </w:r>
          </w:p>
        </w:tc>
        <w:tc>
          <w:tcPr>
            <w:tcW w:w="6111" w:type="dxa"/>
            <w:vAlign w:val="center"/>
          </w:tcPr>
          <w:p>
            <w:pPr>
              <w:spacing w:line="360" w:lineRule="auto"/>
              <w:ind w:right="31" w:rightChars="15"/>
              <w:rPr>
                <w:rFonts w:hint="default" w:ascii="宋体" w:hAnsi="宋体" w:eastAsia="宋体" w:cs="宋体"/>
                <w:b/>
                <w:szCs w:val="21"/>
                <w:lang w:val="en-US" w:eastAsia="zh-CN"/>
              </w:rPr>
            </w:pPr>
            <w:r>
              <w:rPr>
                <w:rFonts w:hint="eastAsia" w:ascii="宋体" w:hAnsi="宋体" w:cs="宋体"/>
                <w:b/>
                <w:sz w:val="24"/>
                <w:szCs w:val="28"/>
              </w:rPr>
              <w:t>重庆交通职业</w:t>
            </w:r>
            <w:r>
              <w:rPr>
                <w:rFonts w:hint="eastAsia" w:ascii="宋体" w:hAnsi="宋体" w:cs="宋体"/>
                <w:b/>
                <w:sz w:val="24"/>
                <w:szCs w:val="28"/>
                <w:lang w:val="en-US" w:eastAsia="zh-CN"/>
              </w:rPr>
              <w:t>学院数字造价实训</w:t>
            </w:r>
            <w:r>
              <w:rPr>
                <w:rFonts w:hint="eastAsia" w:ascii="宋体" w:hAnsi="宋体" w:cs="宋体"/>
                <w:b/>
                <w:sz w:val="24"/>
                <w:szCs w:val="28"/>
              </w:rPr>
              <w:t>项目</w:t>
            </w:r>
            <w:r>
              <w:rPr>
                <w:rFonts w:hint="eastAsia" w:ascii="宋体" w:hAnsi="宋体" w:cs="宋体"/>
                <w:b/>
                <w:sz w:val="24"/>
                <w:szCs w:val="28"/>
                <w:lang w:val="en-US" w:eastAsia="zh-CN"/>
              </w:rPr>
              <w:t>招标参数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3"/>
              <w:numPr>
                <w:ilvl w:val="0"/>
                <w:numId w:val="3"/>
              </w:numPr>
              <w:ind w:right="230"/>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招标编号</w:t>
            </w:r>
          </w:p>
        </w:tc>
        <w:tc>
          <w:tcPr>
            <w:tcW w:w="6111" w:type="dxa"/>
            <w:vAlign w:val="center"/>
          </w:tcPr>
          <w:p>
            <w:pPr>
              <w:ind w:firstLine="105" w:firstLineChars="50"/>
              <w:rPr>
                <w:rFonts w:ascii="宋体" w:hAnsi="宋体" w:cs="宋体"/>
                <w:b/>
                <w:color w:val="FF0000"/>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3"/>
              <w:numPr>
                <w:ilvl w:val="0"/>
                <w:numId w:val="3"/>
              </w:numPr>
              <w:ind w:right="230"/>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最高限价</w:t>
            </w:r>
          </w:p>
        </w:tc>
        <w:tc>
          <w:tcPr>
            <w:tcW w:w="6111" w:type="dxa"/>
            <w:vAlign w:val="center"/>
          </w:tcPr>
          <w:p>
            <w:pPr>
              <w:pStyle w:val="23"/>
              <w:ind w:firstLine="210" w:firstLineChars="100"/>
              <w:jc w:val="both"/>
              <w:rPr>
                <w:color w:val="FF0000"/>
                <w:sz w:val="21"/>
                <w:szCs w:val="21"/>
              </w:rPr>
            </w:pPr>
            <w:bookmarkStart w:id="28" w:name="PO_默认文件内容_4"/>
            <w:r>
              <w:rPr>
                <w:rFonts w:hint="eastAsia"/>
                <w:sz w:val="21"/>
                <w:szCs w:val="21"/>
              </w:rPr>
              <w:t>不公布</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3"/>
              <w:numPr>
                <w:ilvl w:val="0"/>
                <w:numId w:val="3"/>
              </w:numPr>
              <w:ind w:right="230"/>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招标方式</w:t>
            </w:r>
          </w:p>
        </w:tc>
        <w:tc>
          <w:tcPr>
            <w:tcW w:w="6111" w:type="dxa"/>
            <w:vAlign w:val="center"/>
          </w:tcPr>
          <w:p>
            <w:pPr>
              <w:pStyle w:val="23"/>
              <w:jc w:val="both"/>
              <w:rPr>
                <w:sz w:val="21"/>
                <w:szCs w:val="21"/>
                <w:lang w:val="zh-CN"/>
              </w:rPr>
            </w:pPr>
            <w:r>
              <w:rPr>
                <w:rFonts w:hint="eastAsia"/>
                <w:sz w:val="21"/>
                <w:szCs w:val="21"/>
                <w:lang w:val="zh-CN"/>
              </w:rPr>
              <w:t xml:space="preserve">  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3"/>
              <w:numPr>
                <w:ilvl w:val="0"/>
                <w:numId w:val="3"/>
              </w:numPr>
              <w:ind w:right="230"/>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评标方法</w:t>
            </w:r>
          </w:p>
        </w:tc>
        <w:tc>
          <w:tcPr>
            <w:tcW w:w="6111" w:type="dxa"/>
            <w:vAlign w:val="center"/>
          </w:tcPr>
          <w:p>
            <w:pPr>
              <w:pStyle w:val="23"/>
              <w:ind w:left="634" w:leftChars="102" w:hanging="420" w:hangingChars="200"/>
              <w:rPr>
                <w:sz w:val="21"/>
                <w:szCs w:val="21"/>
                <w:lang w:val="zh-CN"/>
              </w:rPr>
            </w:pPr>
            <w:r>
              <w:rPr>
                <w:rFonts w:hint="eastAsia"/>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1012" w:type="dxa"/>
            <w:vAlign w:val="center"/>
          </w:tcPr>
          <w:p>
            <w:pPr>
              <w:pStyle w:val="23"/>
              <w:numPr>
                <w:ilvl w:val="0"/>
                <w:numId w:val="3"/>
              </w:numPr>
              <w:ind w:right="230"/>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交付时间、地点</w:t>
            </w:r>
          </w:p>
        </w:tc>
        <w:tc>
          <w:tcPr>
            <w:tcW w:w="6111" w:type="dxa"/>
            <w:vAlign w:val="center"/>
          </w:tcPr>
          <w:p>
            <w:pPr>
              <w:pStyle w:val="23"/>
              <w:spacing w:line="360" w:lineRule="auto"/>
              <w:ind w:left="634" w:leftChars="102" w:hanging="420" w:hangingChars="200"/>
              <w:rPr>
                <w:sz w:val="21"/>
                <w:szCs w:val="21"/>
                <w:lang w:val="zh-CN"/>
              </w:rPr>
            </w:pPr>
            <w:bookmarkStart w:id="29" w:name="PO_默认文件内容_23"/>
            <w:r>
              <w:rPr>
                <w:rFonts w:hint="eastAsia"/>
                <w:sz w:val="21"/>
                <w:szCs w:val="21"/>
                <w:lang w:val="zh-CN"/>
              </w:rPr>
              <w:t>详见招标文件要求。</w:t>
            </w:r>
            <w:bookmarkEnd w:id="2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5" w:hRule="exact"/>
          <w:jc w:val="center"/>
        </w:trPr>
        <w:tc>
          <w:tcPr>
            <w:tcW w:w="1012" w:type="dxa"/>
            <w:vAlign w:val="center"/>
          </w:tcPr>
          <w:p>
            <w:pPr>
              <w:pStyle w:val="23"/>
              <w:numPr>
                <w:ilvl w:val="0"/>
                <w:numId w:val="3"/>
              </w:numPr>
              <w:ind w:right="230"/>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质量要求、验收标准</w:t>
            </w:r>
          </w:p>
        </w:tc>
        <w:tc>
          <w:tcPr>
            <w:tcW w:w="6111" w:type="dxa"/>
            <w:vAlign w:val="center"/>
          </w:tcPr>
          <w:p>
            <w:pPr>
              <w:pStyle w:val="23"/>
              <w:spacing w:line="360" w:lineRule="auto"/>
              <w:ind w:firstLine="210" w:firstLineChars="100"/>
              <w:jc w:val="both"/>
              <w:rPr>
                <w:sz w:val="21"/>
                <w:szCs w:val="21"/>
              </w:rPr>
            </w:pPr>
            <w:bookmarkStart w:id="30" w:name="PO_默认文件内容_24"/>
            <w:r>
              <w:rPr>
                <w:rFonts w:hint="eastAsia"/>
                <w:sz w:val="21"/>
                <w:szCs w:val="21"/>
                <w:lang w:val="zh-CN"/>
              </w:rPr>
              <w:t>质量要求：按招标文件要求</w:t>
            </w:r>
            <w:r>
              <w:rPr>
                <w:rFonts w:hint="eastAsia"/>
                <w:sz w:val="21"/>
                <w:szCs w:val="21"/>
              </w:rPr>
              <w:t>。</w:t>
            </w:r>
          </w:p>
          <w:p>
            <w:pPr>
              <w:pStyle w:val="23"/>
              <w:spacing w:line="360" w:lineRule="auto"/>
              <w:ind w:firstLine="210" w:firstLineChars="100"/>
              <w:jc w:val="both"/>
              <w:rPr>
                <w:sz w:val="21"/>
                <w:szCs w:val="21"/>
              </w:rPr>
            </w:pPr>
            <w:r>
              <w:rPr>
                <w:rFonts w:hint="eastAsia"/>
                <w:sz w:val="21"/>
                <w:szCs w:val="21"/>
              </w:rPr>
              <w:t>验收标准：</w:t>
            </w:r>
            <w:r>
              <w:rPr>
                <w:rFonts w:hint="eastAsia"/>
                <w:sz w:val="21"/>
                <w:szCs w:val="21"/>
                <w:lang w:val="zh-CN"/>
              </w:rPr>
              <w:t>按招标文件要求</w:t>
            </w:r>
            <w:r>
              <w:rPr>
                <w:rFonts w:hint="eastAsia"/>
                <w:sz w:val="21"/>
                <w:szCs w:val="21"/>
              </w:rPr>
              <w:t>进行验收。</w:t>
            </w:r>
            <w:bookmarkEnd w:id="3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5" w:hRule="atLeast"/>
          <w:jc w:val="center"/>
        </w:trPr>
        <w:tc>
          <w:tcPr>
            <w:tcW w:w="1012" w:type="dxa"/>
            <w:vAlign w:val="center"/>
          </w:tcPr>
          <w:p>
            <w:pPr>
              <w:pStyle w:val="23"/>
              <w:numPr>
                <w:ilvl w:val="0"/>
                <w:numId w:val="3"/>
              </w:numPr>
              <w:ind w:right="230"/>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联合体投标</w:t>
            </w:r>
          </w:p>
        </w:tc>
        <w:tc>
          <w:tcPr>
            <w:tcW w:w="6111" w:type="dxa"/>
            <w:vAlign w:val="center"/>
          </w:tcPr>
          <w:p>
            <w:pPr>
              <w:pStyle w:val="23"/>
              <w:ind w:left="210" w:leftChars="100"/>
              <w:rPr>
                <w:sz w:val="21"/>
                <w:szCs w:val="21"/>
                <w:lang w:val="zh-CN"/>
              </w:rPr>
            </w:pPr>
            <w:bookmarkStart w:id="31" w:name="PO_默认文件内容_25"/>
            <w:r>
              <w:rPr>
                <w:rFonts w:hint="eastAsia"/>
                <w:sz w:val="21"/>
                <w:szCs w:val="21"/>
              </w:rPr>
              <w:t>本次招标不接受联合体投标。</w:t>
            </w:r>
            <w:bookmarkEnd w:id="3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1012" w:type="dxa"/>
            <w:vAlign w:val="center"/>
          </w:tcPr>
          <w:p>
            <w:pPr>
              <w:pStyle w:val="23"/>
              <w:numPr>
                <w:ilvl w:val="0"/>
                <w:numId w:val="3"/>
              </w:numPr>
              <w:ind w:right="230"/>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考察现场、标前答疑会</w:t>
            </w:r>
          </w:p>
        </w:tc>
        <w:tc>
          <w:tcPr>
            <w:tcW w:w="6111" w:type="dxa"/>
            <w:vAlign w:val="center"/>
          </w:tcPr>
          <w:p>
            <w:pPr>
              <w:pStyle w:val="23"/>
              <w:ind w:firstLine="210" w:firstLineChars="100"/>
              <w:rPr>
                <w:sz w:val="21"/>
                <w:szCs w:val="21"/>
                <w:lang w:val="zh-CN"/>
              </w:rPr>
            </w:pPr>
            <w:bookmarkStart w:id="32" w:name="PO_默认文件内容_26"/>
            <w:r>
              <w:rPr>
                <w:rFonts w:hint="eastAsia"/>
                <w:sz w:val="21"/>
                <w:szCs w:val="21"/>
                <w:lang w:val="zh-CN"/>
              </w:rPr>
              <w:t>招标采购单位认为有必要，另行书面通知。</w:t>
            </w:r>
            <w:bookmarkEnd w:id="3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1012" w:type="dxa"/>
            <w:vAlign w:val="center"/>
          </w:tcPr>
          <w:p>
            <w:pPr>
              <w:pStyle w:val="23"/>
              <w:numPr>
                <w:ilvl w:val="0"/>
                <w:numId w:val="3"/>
              </w:numPr>
              <w:ind w:right="230"/>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投标人对招标文件提出异议的时间</w:t>
            </w:r>
          </w:p>
        </w:tc>
        <w:tc>
          <w:tcPr>
            <w:tcW w:w="6111" w:type="dxa"/>
            <w:vAlign w:val="center"/>
          </w:tcPr>
          <w:p>
            <w:pPr>
              <w:pStyle w:val="23"/>
              <w:ind w:firstLine="210" w:firstLineChars="100"/>
              <w:rPr>
                <w:sz w:val="21"/>
                <w:szCs w:val="21"/>
                <w:lang w:val="zh-CN"/>
              </w:rPr>
            </w:pPr>
            <w:bookmarkStart w:id="33" w:name="PO_默认文件内容_27"/>
            <w:r>
              <w:rPr>
                <w:rFonts w:hint="eastAsia"/>
                <w:sz w:val="21"/>
                <w:szCs w:val="21"/>
                <w:lang w:val="zh-CN"/>
              </w:rPr>
              <w:t>在投标截止时间3日前提出。</w:t>
            </w:r>
            <w:bookmarkEnd w:id="3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3" w:hRule="exact"/>
          <w:jc w:val="center"/>
        </w:trPr>
        <w:tc>
          <w:tcPr>
            <w:tcW w:w="1012" w:type="dxa"/>
            <w:vAlign w:val="center"/>
          </w:tcPr>
          <w:p>
            <w:pPr>
              <w:pStyle w:val="23"/>
              <w:numPr>
                <w:ilvl w:val="0"/>
                <w:numId w:val="3"/>
              </w:numPr>
              <w:ind w:right="230"/>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分包履约</w:t>
            </w:r>
          </w:p>
        </w:tc>
        <w:tc>
          <w:tcPr>
            <w:tcW w:w="6111" w:type="dxa"/>
            <w:vAlign w:val="center"/>
          </w:tcPr>
          <w:p>
            <w:pPr>
              <w:pStyle w:val="23"/>
              <w:rPr>
                <w:sz w:val="21"/>
                <w:szCs w:val="21"/>
              </w:rPr>
            </w:pPr>
            <w:bookmarkStart w:id="34" w:name="PO_默认文件内容_28"/>
            <w:r>
              <w:rPr>
                <w:rFonts w:hint="eastAsia"/>
                <w:sz w:val="21"/>
                <w:szCs w:val="21"/>
                <w:lang w:val="zh-CN"/>
              </w:rPr>
              <w:t>中标供应商</w:t>
            </w:r>
            <w:r>
              <w:rPr>
                <w:rFonts w:hint="eastAsia"/>
                <w:sz w:val="21"/>
                <w:szCs w:val="21"/>
              </w:rPr>
              <w:t>在合同签订之前必须征得招标人同意（详见投标人须知第28条）。</w:t>
            </w:r>
            <w:bookmarkEnd w:id="3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4" w:hRule="exact"/>
          <w:jc w:val="center"/>
        </w:trPr>
        <w:tc>
          <w:tcPr>
            <w:tcW w:w="1012" w:type="dxa"/>
            <w:vAlign w:val="center"/>
          </w:tcPr>
          <w:p>
            <w:pPr>
              <w:pStyle w:val="23"/>
              <w:numPr>
                <w:ilvl w:val="0"/>
                <w:numId w:val="3"/>
              </w:numPr>
              <w:ind w:right="230"/>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构成招标文件的其他文件</w:t>
            </w:r>
          </w:p>
        </w:tc>
        <w:tc>
          <w:tcPr>
            <w:tcW w:w="6111" w:type="dxa"/>
            <w:vAlign w:val="center"/>
          </w:tcPr>
          <w:p>
            <w:pPr>
              <w:pStyle w:val="23"/>
              <w:ind w:left="210" w:hanging="210" w:hangingChars="100"/>
              <w:rPr>
                <w:sz w:val="21"/>
                <w:szCs w:val="21"/>
                <w:lang w:val="zh-CN"/>
              </w:rPr>
            </w:pPr>
            <w:bookmarkStart w:id="35" w:name="PO_默认文件内容_29"/>
            <w:r>
              <w:rPr>
                <w:rFonts w:hint="eastAsia"/>
                <w:sz w:val="21"/>
                <w:szCs w:val="21"/>
                <w:lang w:val="zh-CN"/>
              </w:rPr>
              <w:t>招标文件的澄清</w:t>
            </w:r>
            <w:r>
              <w:rPr>
                <w:rFonts w:hint="eastAsia"/>
                <w:sz w:val="21"/>
                <w:szCs w:val="21"/>
              </w:rPr>
              <w:t>、修改书及有关补充通知为招标文件的有效组成部分。</w:t>
            </w:r>
            <w:bookmarkEnd w:id="3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23"/>
              <w:numPr>
                <w:ilvl w:val="0"/>
                <w:numId w:val="3"/>
              </w:numPr>
              <w:ind w:right="230"/>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投标截止时间</w:t>
            </w:r>
          </w:p>
        </w:tc>
        <w:tc>
          <w:tcPr>
            <w:tcW w:w="6111" w:type="dxa"/>
            <w:vAlign w:val="center"/>
          </w:tcPr>
          <w:p>
            <w:pPr>
              <w:pStyle w:val="23"/>
              <w:ind w:firstLine="210" w:firstLineChars="100"/>
              <w:jc w:val="both"/>
              <w:rPr>
                <w:sz w:val="21"/>
                <w:szCs w:val="21"/>
                <w:lang w:val="zh-CN"/>
              </w:rPr>
            </w:pPr>
            <w:bookmarkStart w:id="36" w:name="PO_默认文件内容_30"/>
            <w:r>
              <w:rPr>
                <w:rFonts w:hint="eastAsia"/>
                <w:sz w:val="21"/>
                <w:szCs w:val="21"/>
              </w:rPr>
              <w:t>同第一章</w:t>
            </w:r>
            <w:bookmarkEnd w:id="3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23"/>
              <w:numPr>
                <w:ilvl w:val="0"/>
                <w:numId w:val="3"/>
              </w:numPr>
              <w:ind w:right="230"/>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投标有效期</w:t>
            </w:r>
          </w:p>
        </w:tc>
        <w:tc>
          <w:tcPr>
            <w:tcW w:w="6111" w:type="dxa"/>
            <w:vAlign w:val="center"/>
          </w:tcPr>
          <w:p>
            <w:pPr>
              <w:pStyle w:val="23"/>
              <w:ind w:firstLine="210" w:firstLineChars="100"/>
              <w:jc w:val="both"/>
              <w:rPr>
                <w:sz w:val="21"/>
                <w:szCs w:val="21"/>
                <w:lang w:val="zh-CN"/>
              </w:rPr>
            </w:pPr>
            <w:bookmarkStart w:id="37" w:name="PO_默认文件内容_31"/>
            <w:r>
              <w:rPr>
                <w:rFonts w:hint="eastAsia"/>
                <w:sz w:val="21"/>
                <w:szCs w:val="21"/>
              </w:rPr>
              <w:t>开标后60天。</w:t>
            </w:r>
            <w:bookmarkEnd w:id="37"/>
          </w:p>
        </w:tc>
      </w:tr>
      <w:bookmarkEnd w:id="16"/>
      <w:bookmarkEnd w:id="17"/>
      <w:bookmarkEnd w:id="18"/>
      <w:bookmarkEnd w:id="19"/>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3" w:hRule="atLeast"/>
          <w:jc w:val="center"/>
        </w:trPr>
        <w:tc>
          <w:tcPr>
            <w:tcW w:w="1012" w:type="dxa"/>
            <w:vAlign w:val="center"/>
          </w:tcPr>
          <w:p>
            <w:pPr>
              <w:pStyle w:val="23"/>
              <w:numPr>
                <w:ilvl w:val="0"/>
                <w:numId w:val="3"/>
              </w:numPr>
              <w:ind w:right="230"/>
              <w:jc w:val="center"/>
              <w:rPr>
                <w:sz w:val="21"/>
                <w:szCs w:val="21"/>
                <w:lang w:val="zh-CN"/>
              </w:rPr>
            </w:pPr>
            <w:bookmarkStart w:id="38" w:name="_Toc217446033"/>
            <w:bookmarkStart w:id="39" w:name="_Toc89075873"/>
            <w:bookmarkStart w:id="40" w:name="_Toc183682341"/>
            <w:bookmarkStart w:id="41" w:name="_Toc77400778"/>
            <w:bookmarkStart w:id="42" w:name="_Toc183582204"/>
          </w:p>
        </w:tc>
        <w:tc>
          <w:tcPr>
            <w:tcW w:w="2378" w:type="dxa"/>
            <w:vAlign w:val="center"/>
          </w:tcPr>
          <w:p>
            <w:pPr>
              <w:pStyle w:val="23"/>
              <w:ind w:left="110" w:right="28"/>
              <w:rPr>
                <w:sz w:val="21"/>
                <w:szCs w:val="21"/>
                <w:lang w:val="zh-CN"/>
              </w:rPr>
            </w:pPr>
            <w:r>
              <w:rPr>
                <w:rFonts w:hint="eastAsia"/>
                <w:sz w:val="21"/>
                <w:szCs w:val="21"/>
                <w:lang w:val="zh-CN"/>
              </w:rPr>
              <w:t>备选投标方案和报价</w:t>
            </w:r>
          </w:p>
        </w:tc>
        <w:tc>
          <w:tcPr>
            <w:tcW w:w="6111" w:type="dxa"/>
            <w:vAlign w:val="center"/>
          </w:tcPr>
          <w:p>
            <w:pPr>
              <w:pStyle w:val="23"/>
              <w:ind w:firstLine="210" w:firstLineChars="100"/>
              <w:rPr>
                <w:sz w:val="21"/>
                <w:szCs w:val="21"/>
                <w:lang w:val="zh-CN"/>
              </w:rPr>
            </w:pPr>
            <w:bookmarkStart w:id="43" w:name="PO_默认文件内容_33"/>
            <w:r>
              <w:rPr>
                <w:rFonts w:hint="eastAsia"/>
                <w:sz w:val="21"/>
                <w:szCs w:val="21"/>
                <w:lang w:val="zh-CN"/>
              </w:rPr>
              <w:t>不接受备选投标方案和多个报价。</w:t>
            </w:r>
            <w:bookmarkEnd w:id="4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2" w:type="dxa"/>
            <w:vAlign w:val="center"/>
          </w:tcPr>
          <w:p>
            <w:pPr>
              <w:pStyle w:val="23"/>
              <w:numPr>
                <w:ilvl w:val="0"/>
                <w:numId w:val="3"/>
              </w:numPr>
              <w:ind w:right="264"/>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签字盖章</w:t>
            </w:r>
          </w:p>
        </w:tc>
        <w:tc>
          <w:tcPr>
            <w:tcW w:w="6111" w:type="dxa"/>
            <w:vAlign w:val="center"/>
          </w:tcPr>
          <w:p>
            <w:pPr>
              <w:pStyle w:val="23"/>
              <w:ind w:firstLine="210" w:firstLineChars="100"/>
              <w:rPr>
                <w:sz w:val="21"/>
                <w:szCs w:val="21"/>
                <w:lang w:val="zh-CN"/>
              </w:rPr>
            </w:pPr>
            <w:bookmarkStart w:id="44" w:name="PO_默认文件内容_34"/>
            <w:r>
              <w:rPr>
                <w:rFonts w:hint="eastAsia"/>
                <w:sz w:val="21"/>
                <w:szCs w:val="21"/>
                <w:lang w:val="zh-CN"/>
              </w:rPr>
              <w:t>投标人必须按照招标文件的规定和要求签字、盖章（法人代表的签字可用具有法定效力的签字章）。</w:t>
            </w:r>
            <w:bookmarkEnd w:id="4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9" w:hRule="exact"/>
          <w:jc w:val="center"/>
        </w:trPr>
        <w:tc>
          <w:tcPr>
            <w:tcW w:w="1012" w:type="dxa"/>
            <w:vAlign w:val="center"/>
          </w:tcPr>
          <w:p>
            <w:pPr>
              <w:pStyle w:val="23"/>
              <w:numPr>
                <w:ilvl w:val="0"/>
                <w:numId w:val="3"/>
              </w:numPr>
              <w:ind w:right="264"/>
              <w:jc w:val="center"/>
              <w:rPr>
                <w:sz w:val="21"/>
                <w:szCs w:val="21"/>
                <w:lang w:val="zh-CN"/>
              </w:rPr>
            </w:pPr>
          </w:p>
        </w:tc>
        <w:tc>
          <w:tcPr>
            <w:tcW w:w="2378" w:type="dxa"/>
            <w:vAlign w:val="center"/>
          </w:tcPr>
          <w:p>
            <w:pPr>
              <w:pStyle w:val="23"/>
              <w:ind w:left="350" w:leftChars="53" w:hanging="239" w:hangingChars="114"/>
              <w:rPr>
                <w:sz w:val="21"/>
                <w:szCs w:val="21"/>
                <w:lang w:val="zh-CN"/>
              </w:rPr>
            </w:pPr>
            <w:r>
              <w:rPr>
                <w:rFonts w:hint="eastAsia"/>
                <w:sz w:val="21"/>
                <w:szCs w:val="21"/>
                <w:lang w:val="zh-CN"/>
              </w:rPr>
              <w:t>投标文件份数</w:t>
            </w:r>
          </w:p>
        </w:tc>
        <w:tc>
          <w:tcPr>
            <w:tcW w:w="6111" w:type="dxa"/>
            <w:vAlign w:val="center"/>
          </w:tcPr>
          <w:p>
            <w:pPr>
              <w:pStyle w:val="23"/>
              <w:ind w:firstLine="210" w:firstLineChars="100"/>
              <w:rPr>
                <w:sz w:val="21"/>
                <w:szCs w:val="21"/>
                <w:u w:val="single"/>
                <w:lang w:val="zh-CN"/>
              </w:rPr>
            </w:pPr>
            <w:r>
              <w:rPr>
                <w:rFonts w:hint="eastAsia"/>
                <w:sz w:val="21"/>
                <w:szCs w:val="21"/>
                <w:lang w:val="zh-CN"/>
              </w:rPr>
              <w:t>正本1份；副本</w:t>
            </w:r>
            <w:r>
              <w:rPr>
                <w:rFonts w:hint="eastAsia"/>
                <w:sz w:val="21"/>
                <w:szCs w:val="21"/>
              </w:rPr>
              <w:t>1</w:t>
            </w:r>
            <w:r>
              <w:rPr>
                <w:rFonts w:hint="eastAsia"/>
                <w:sz w:val="21"/>
                <w:szCs w:val="21"/>
                <w:lang w:val="zh-CN"/>
              </w:rPr>
              <w:t>份；</w:t>
            </w:r>
            <w:r>
              <w:rPr>
                <w:rFonts w:hint="eastAsia"/>
                <w:sz w:val="21"/>
                <w:szCs w:val="21"/>
              </w:rPr>
              <w:t>用于唱标的“开标一览表”一式一份。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1012" w:type="dxa"/>
            <w:vAlign w:val="center"/>
          </w:tcPr>
          <w:p>
            <w:pPr>
              <w:pStyle w:val="23"/>
              <w:numPr>
                <w:ilvl w:val="0"/>
                <w:numId w:val="3"/>
              </w:numPr>
              <w:ind w:right="264"/>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投标文件的装订</w:t>
            </w:r>
          </w:p>
        </w:tc>
        <w:tc>
          <w:tcPr>
            <w:tcW w:w="6111" w:type="dxa"/>
            <w:vAlign w:val="center"/>
          </w:tcPr>
          <w:p>
            <w:pPr>
              <w:pStyle w:val="23"/>
              <w:ind w:firstLine="210" w:firstLineChars="100"/>
              <w:rPr>
                <w:sz w:val="21"/>
                <w:szCs w:val="21"/>
                <w:lang w:val="zh-CN"/>
              </w:rPr>
            </w:pPr>
            <w:bookmarkStart w:id="45" w:name="PO_默认文件内容_35"/>
            <w:r>
              <w:rPr>
                <w:rFonts w:hint="eastAsia"/>
                <w:sz w:val="21"/>
                <w:szCs w:val="21"/>
                <w:lang w:val="zh-CN"/>
              </w:rPr>
              <w:t>正本和副本及用于唱标的“开标一览表”分别装订。</w:t>
            </w:r>
            <w:bookmarkEnd w:id="4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2" w:hRule="atLeast"/>
          <w:jc w:val="center"/>
        </w:trPr>
        <w:tc>
          <w:tcPr>
            <w:tcW w:w="1012" w:type="dxa"/>
            <w:vAlign w:val="center"/>
          </w:tcPr>
          <w:p>
            <w:pPr>
              <w:pStyle w:val="23"/>
              <w:numPr>
                <w:ilvl w:val="0"/>
                <w:numId w:val="3"/>
              </w:numPr>
              <w:ind w:right="264"/>
              <w:jc w:val="center"/>
              <w:rPr>
                <w:sz w:val="21"/>
                <w:szCs w:val="21"/>
                <w:lang w:val="zh-CN"/>
              </w:rPr>
            </w:pPr>
          </w:p>
        </w:tc>
        <w:tc>
          <w:tcPr>
            <w:tcW w:w="2378" w:type="dxa"/>
            <w:vAlign w:val="center"/>
          </w:tcPr>
          <w:p>
            <w:pPr>
              <w:pStyle w:val="23"/>
              <w:ind w:firstLine="109" w:firstLineChars="52"/>
              <w:rPr>
                <w:sz w:val="21"/>
                <w:szCs w:val="21"/>
                <w:lang w:val="zh-CN"/>
              </w:rPr>
            </w:pPr>
            <w:r>
              <w:rPr>
                <w:rFonts w:hint="eastAsia"/>
                <w:sz w:val="21"/>
                <w:szCs w:val="21"/>
                <w:lang w:val="zh-CN"/>
              </w:rPr>
              <w:t>投标文件封面的标注</w:t>
            </w:r>
          </w:p>
        </w:tc>
        <w:tc>
          <w:tcPr>
            <w:tcW w:w="6111" w:type="dxa"/>
            <w:vAlign w:val="center"/>
          </w:tcPr>
          <w:p>
            <w:pPr>
              <w:pStyle w:val="23"/>
              <w:ind w:firstLine="210" w:firstLineChars="100"/>
              <w:jc w:val="both"/>
              <w:rPr>
                <w:sz w:val="21"/>
                <w:szCs w:val="21"/>
                <w:lang w:val="zh-CN"/>
              </w:rPr>
            </w:pPr>
            <w:bookmarkStart w:id="46" w:name="PO_默认文件内容_36"/>
            <w:r>
              <w:rPr>
                <w:rFonts w:hint="eastAsia"/>
                <w:sz w:val="21"/>
                <w:szCs w:val="21"/>
                <w:lang w:val="zh-CN"/>
              </w:rPr>
              <w:t>投标文件正本和副本的封面上均应标明：招标项目名称、招标编号、分包号（如有分包）、投标人名称、年月日；并分别在右上角标明“正本”和“副本”字样。</w:t>
            </w:r>
            <w:bookmarkEnd w:id="4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4" w:hRule="atLeast"/>
          <w:jc w:val="center"/>
        </w:trPr>
        <w:tc>
          <w:tcPr>
            <w:tcW w:w="1012" w:type="dxa"/>
            <w:vAlign w:val="center"/>
          </w:tcPr>
          <w:p>
            <w:pPr>
              <w:pStyle w:val="23"/>
              <w:numPr>
                <w:ilvl w:val="0"/>
                <w:numId w:val="3"/>
              </w:numPr>
              <w:ind w:right="264"/>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投标文件外层密封袋的标注</w:t>
            </w:r>
          </w:p>
        </w:tc>
        <w:tc>
          <w:tcPr>
            <w:tcW w:w="6111" w:type="dxa"/>
            <w:vAlign w:val="center"/>
          </w:tcPr>
          <w:p>
            <w:pPr>
              <w:pStyle w:val="23"/>
              <w:ind w:firstLine="210" w:firstLineChars="100"/>
              <w:jc w:val="both"/>
              <w:rPr>
                <w:sz w:val="21"/>
                <w:szCs w:val="21"/>
                <w:lang w:val="zh-CN"/>
              </w:rPr>
            </w:pPr>
            <w:bookmarkStart w:id="47" w:name="PO_默认文件内容_37"/>
            <w:r>
              <w:rPr>
                <w:rFonts w:hint="eastAsia"/>
                <w:sz w:val="21"/>
                <w:szCs w:val="21"/>
                <w:lang w:val="zh-CN"/>
              </w:rPr>
              <w:t>招标项目名称、招标编号、分包号（如有分包）、投标人名称、年月日。</w:t>
            </w:r>
            <w:bookmarkEnd w:id="4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5" w:hRule="exact"/>
          <w:jc w:val="center"/>
        </w:trPr>
        <w:tc>
          <w:tcPr>
            <w:tcW w:w="1012" w:type="dxa"/>
            <w:vAlign w:val="center"/>
          </w:tcPr>
          <w:p>
            <w:pPr>
              <w:pStyle w:val="23"/>
              <w:numPr>
                <w:ilvl w:val="0"/>
                <w:numId w:val="3"/>
              </w:numPr>
              <w:ind w:right="264"/>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递交投标文件地点</w:t>
            </w:r>
          </w:p>
        </w:tc>
        <w:tc>
          <w:tcPr>
            <w:tcW w:w="6111" w:type="dxa"/>
            <w:vAlign w:val="center"/>
          </w:tcPr>
          <w:p>
            <w:pPr>
              <w:autoSpaceDE w:val="0"/>
              <w:autoSpaceDN w:val="0"/>
              <w:adjustRightInd w:val="0"/>
              <w:jc w:val="left"/>
              <w:rPr>
                <w:rFonts w:ascii="宋体" w:hAnsi="宋体" w:cs="宋体"/>
                <w:szCs w:val="21"/>
              </w:rPr>
            </w:pPr>
            <w:r>
              <w:rPr>
                <w:rFonts w:hint="eastAsia" w:ascii="宋体" w:hAnsi="宋体" w:cs="宋体"/>
                <w:szCs w:val="21"/>
              </w:rPr>
              <w:t xml:space="preserve">  重庆交通职业学院。（现场递交投标文件）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1012" w:type="dxa"/>
            <w:vAlign w:val="center"/>
          </w:tcPr>
          <w:p>
            <w:pPr>
              <w:pStyle w:val="23"/>
              <w:numPr>
                <w:ilvl w:val="0"/>
                <w:numId w:val="3"/>
              </w:numPr>
              <w:ind w:right="264"/>
              <w:jc w:val="center"/>
              <w:rPr>
                <w:sz w:val="21"/>
                <w:szCs w:val="21"/>
                <w:lang w:val="zh-CN"/>
              </w:rPr>
            </w:pPr>
          </w:p>
        </w:tc>
        <w:tc>
          <w:tcPr>
            <w:tcW w:w="2378" w:type="dxa"/>
            <w:vAlign w:val="center"/>
          </w:tcPr>
          <w:p>
            <w:pPr>
              <w:pStyle w:val="23"/>
              <w:ind w:left="110"/>
              <w:rPr>
                <w:sz w:val="21"/>
                <w:szCs w:val="21"/>
                <w:lang w:val="zh-CN"/>
              </w:rPr>
            </w:pPr>
            <w:r>
              <w:rPr>
                <w:rFonts w:hint="eastAsia"/>
                <w:sz w:val="21"/>
                <w:szCs w:val="21"/>
                <w:lang w:val="zh-CN"/>
              </w:rPr>
              <w:t>开标时间和地点</w:t>
            </w:r>
          </w:p>
        </w:tc>
        <w:tc>
          <w:tcPr>
            <w:tcW w:w="6111" w:type="dxa"/>
            <w:vAlign w:val="center"/>
          </w:tcPr>
          <w:p>
            <w:pPr>
              <w:pStyle w:val="23"/>
              <w:ind w:firstLine="210" w:firstLineChars="100"/>
              <w:rPr>
                <w:sz w:val="21"/>
                <w:szCs w:val="21"/>
                <w:lang w:val="zh-CN"/>
              </w:rPr>
            </w:pPr>
            <w:bookmarkStart w:id="48" w:name="PO_默认文件内容_39"/>
            <w:r>
              <w:rPr>
                <w:rFonts w:hint="eastAsia"/>
                <w:sz w:val="21"/>
                <w:szCs w:val="21"/>
                <w:lang w:val="zh-CN"/>
              </w:rPr>
              <w:t>开标时间：同投标截止时间。</w:t>
            </w:r>
          </w:p>
          <w:p>
            <w:pPr>
              <w:pStyle w:val="23"/>
              <w:ind w:firstLine="210" w:firstLineChars="100"/>
              <w:rPr>
                <w:sz w:val="21"/>
                <w:szCs w:val="21"/>
                <w:lang w:val="zh-CN"/>
              </w:rPr>
            </w:pPr>
            <w:r>
              <w:rPr>
                <w:rFonts w:hint="eastAsia"/>
                <w:sz w:val="21"/>
                <w:szCs w:val="21"/>
                <w:lang w:val="zh-CN"/>
              </w:rPr>
              <w:t>开标地点：同投标文件递交地点。</w:t>
            </w:r>
            <w:bookmarkEnd w:id="48"/>
          </w:p>
        </w:tc>
      </w:tr>
    </w:tbl>
    <w:p>
      <w:pPr>
        <w:pStyle w:val="5"/>
        <w:spacing w:line="400" w:lineRule="exact"/>
        <w:rPr>
          <w:rFonts w:ascii="宋体" w:hAnsi="宋体" w:eastAsia="宋体" w:cs="宋体"/>
          <w:bCs w:val="0"/>
        </w:rPr>
        <w:sectPr>
          <w:pgSz w:w="11907" w:h="16840"/>
          <w:pgMar w:top="1440" w:right="1474" w:bottom="1440" w:left="1474" w:header="851" w:footer="992" w:gutter="0"/>
          <w:cols w:space="720" w:num="1"/>
          <w:docGrid w:linePitch="312" w:charSpace="0"/>
        </w:sectPr>
      </w:pPr>
    </w:p>
    <w:p>
      <w:pPr>
        <w:pStyle w:val="5"/>
        <w:spacing w:line="400" w:lineRule="exact"/>
        <w:jc w:val="center"/>
        <w:rPr>
          <w:rFonts w:ascii="宋体" w:hAnsi="宋体" w:eastAsia="宋体" w:cs="宋体"/>
          <w:bCs w:val="0"/>
        </w:rPr>
      </w:pPr>
      <w:r>
        <w:rPr>
          <w:rFonts w:hint="eastAsia" w:ascii="宋体" w:hAnsi="宋体" w:eastAsia="宋体" w:cs="宋体"/>
          <w:bCs w:val="0"/>
        </w:rPr>
        <w:t>一、总  则</w:t>
      </w:r>
      <w:bookmarkEnd w:id="38"/>
      <w:bookmarkEnd w:id="39"/>
      <w:bookmarkEnd w:id="40"/>
      <w:bookmarkEnd w:id="41"/>
      <w:bookmarkEnd w:id="42"/>
    </w:p>
    <w:p>
      <w:pPr>
        <w:pStyle w:val="6"/>
        <w:spacing w:line="400" w:lineRule="exact"/>
        <w:ind w:firstLine="482" w:firstLineChars="200"/>
        <w:rPr>
          <w:rFonts w:ascii="宋体" w:hAnsi="宋体" w:cs="宋体"/>
          <w:sz w:val="24"/>
        </w:rPr>
      </w:pPr>
      <w:bookmarkStart w:id="49" w:name="_Toc183582205"/>
      <w:bookmarkStart w:id="50" w:name="_Toc183682342"/>
      <w:bookmarkStart w:id="51" w:name="_Toc217446034"/>
      <w:bookmarkStart w:id="52" w:name="PO_默认文件内容_41"/>
      <w:r>
        <w:rPr>
          <w:rFonts w:hint="eastAsia" w:ascii="宋体" w:hAnsi="宋体" w:cs="宋体"/>
          <w:sz w:val="24"/>
        </w:rPr>
        <w:t>1.</w:t>
      </w:r>
      <w:bookmarkEnd w:id="49"/>
      <w:bookmarkEnd w:id="50"/>
      <w:r>
        <w:rPr>
          <w:rFonts w:hint="eastAsia" w:ascii="宋体" w:hAnsi="宋体" w:cs="宋体"/>
          <w:sz w:val="24"/>
        </w:rPr>
        <w:t>适用范围</w:t>
      </w:r>
      <w:bookmarkEnd w:id="51"/>
    </w:p>
    <w:p>
      <w:pPr>
        <w:tabs>
          <w:tab w:val="left" w:pos="7665"/>
        </w:tabs>
        <w:spacing w:line="400" w:lineRule="exact"/>
        <w:ind w:firstLine="480" w:firstLineChars="200"/>
        <w:rPr>
          <w:rFonts w:ascii="宋体" w:hAnsi="宋体" w:cs="宋体"/>
          <w:sz w:val="24"/>
        </w:rPr>
      </w:pPr>
      <w:r>
        <w:rPr>
          <w:rFonts w:hint="eastAsia" w:ascii="宋体" w:hAnsi="宋体" w:cs="宋体"/>
          <w:sz w:val="24"/>
        </w:rPr>
        <w:t>1.1 本招标文件仅适用于本次公开招标所叙述的货物和服务项目采购。</w:t>
      </w:r>
    </w:p>
    <w:p>
      <w:pPr>
        <w:pStyle w:val="6"/>
        <w:spacing w:line="400" w:lineRule="exact"/>
        <w:ind w:firstLine="482" w:firstLineChars="200"/>
        <w:rPr>
          <w:rFonts w:ascii="宋体" w:hAnsi="宋体" w:cs="宋体"/>
          <w:sz w:val="24"/>
        </w:rPr>
      </w:pPr>
      <w:bookmarkStart w:id="53" w:name="_Toc183682343"/>
      <w:bookmarkStart w:id="54" w:name="_Toc183582206"/>
      <w:bookmarkStart w:id="55" w:name="_Toc217446035"/>
      <w:r>
        <w:rPr>
          <w:rFonts w:hint="eastAsia" w:ascii="宋体" w:hAnsi="宋体" w:cs="宋体"/>
          <w:sz w:val="24"/>
        </w:rPr>
        <w:t>2.</w:t>
      </w:r>
      <w:bookmarkEnd w:id="53"/>
      <w:bookmarkEnd w:id="54"/>
      <w:r>
        <w:rPr>
          <w:rFonts w:hint="eastAsia" w:ascii="宋体" w:hAnsi="宋体" w:cs="宋体"/>
          <w:sz w:val="24"/>
        </w:rPr>
        <w:t>有关定义</w:t>
      </w:r>
      <w:bookmarkEnd w:id="55"/>
    </w:p>
    <w:p>
      <w:pPr>
        <w:tabs>
          <w:tab w:val="left" w:pos="7665"/>
        </w:tabs>
        <w:spacing w:line="400" w:lineRule="exact"/>
        <w:ind w:firstLine="480" w:firstLineChars="200"/>
        <w:rPr>
          <w:rFonts w:ascii="宋体" w:hAnsi="宋体" w:cs="宋体"/>
          <w:sz w:val="24"/>
        </w:rPr>
      </w:pPr>
      <w:r>
        <w:rPr>
          <w:rFonts w:hint="eastAsia" w:ascii="宋体" w:hAnsi="宋体" w:cs="宋体"/>
          <w:sz w:val="24"/>
        </w:rPr>
        <w:t>2.1 “招标人”系指依法进行采购的使用者。本次招标的招标人是</w:t>
      </w:r>
      <w:bookmarkEnd w:id="52"/>
      <w:r>
        <w:rPr>
          <w:rFonts w:hint="eastAsia" w:ascii="宋体" w:hAnsi="宋体" w:cs="宋体"/>
          <w:sz w:val="24"/>
          <w:szCs w:val="22"/>
          <w:u w:val="single"/>
        </w:rPr>
        <w:t>重庆交通职业学院</w:t>
      </w:r>
      <w:r>
        <w:rPr>
          <w:rFonts w:hint="eastAsia" w:ascii="宋体" w:hAnsi="宋体" w:cs="宋体"/>
          <w:sz w:val="24"/>
        </w:rPr>
        <w:t>。</w:t>
      </w:r>
    </w:p>
    <w:p>
      <w:pPr>
        <w:tabs>
          <w:tab w:val="left" w:pos="7665"/>
        </w:tabs>
        <w:spacing w:line="400" w:lineRule="exact"/>
        <w:ind w:firstLine="480" w:firstLineChars="200"/>
        <w:rPr>
          <w:rFonts w:ascii="宋体" w:hAnsi="宋体" w:cs="宋体"/>
          <w:sz w:val="24"/>
        </w:rPr>
      </w:pPr>
      <w:bookmarkStart w:id="56" w:name="PO_默认文件内容_42"/>
      <w:r>
        <w:rPr>
          <w:rFonts w:hint="eastAsia" w:ascii="宋体" w:hAnsi="宋体" w:cs="宋体"/>
          <w:sz w:val="24"/>
        </w:rPr>
        <w:t>2.2 “招标采购单位”系指“招标人”。</w:t>
      </w:r>
    </w:p>
    <w:p>
      <w:pPr>
        <w:tabs>
          <w:tab w:val="left" w:pos="7665"/>
        </w:tabs>
        <w:spacing w:line="400" w:lineRule="exact"/>
        <w:ind w:firstLine="480" w:firstLineChars="200"/>
        <w:rPr>
          <w:rFonts w:ascii="宋体" w:hAnsi="宋体" w:cs="宋体"/>
          <w:sz w:val="24"/>
        </w:rPr>
      </w:pPr>
      <w:r>
        <w:rPr>
          <w:rFonts w:hint="eastAsia" w:ascii="宋体" w:hAnsi="宋体" w:cs="宋体"/>
          <w:sz w:val="24"/>
        </w:rPr>
        <w:t>2.3 “投标人”系指下载了招标文件拟参加投标和向招标人提供货物及相应服务的供应商。</w:t>
      </w:r>
      <w:bookmarkEnd w:id="56"/>
    </w:p>
    <w:p>
      <w:pPr>
        <w:pStyle w:val="6"/>
        <w:spacing w:line="400" w:lineRule="exact"/>
        <w:ind w:firstLine="482" w:firstLineChars="200"/>
        <w:rPr>
          <w:rFonts w:ascii="宋体" w:hAnsi="宋体" w:cs="宋体"/>
          <w:sz w:val="24"/>
        </w:rPr>
      </w:pPr>
      <w:bookmarkStart w:id="57" w:name="_Toc217446036"/>
      <w:bookmarkStart w:id="58" w:name="_Toc183682344"/>
      <w:bookmarkStart w:id="59" w:name="_Toc183582207"/>
      <w:bookmarkStart w:id="60" w:name="_Toc217390843"/>
      <w:bookmarkStart w:id="61" w:name="PO_默认文件内容_8"/>
      <w:r>
        <w:rPr>
          <w:rFonts w:hint="eastAsia" w:ascii="宋体" w:hAnsi="宋体" w:cs="宋体"/>
          <w:sz w:val="24"/>
        </w:rPr>
        <w:t>3. 合格的投标人</w:t>
      </w:r>
      <w:bookmarkEnd w:id="57"/>
      <w:bookmarkEnd w:id="58"/>
      <w:bookmarkEnd w:id="59"/>
      <w:bookmarkEnd w:id="60"/>
    </w:p>
    <w:p>
      <w:pPr>
        <w:tabs>
          <w:tab w:val="left" w:pos="7665"/>
        </w:tabs>
        <w:spacing w:line="400" w:lineRule="exact"/>
        <w:rPr>
          <w:rFonts w:ascii="宋体" w:hAnsi="宋体" w:cs="宋体"/>
          <w:color w:val="000000"/>
          <w:sz w:val="24"/>
        </w:rPr>
      </w:pPr>
      <w:r>
        <w:rPr>
          <w:rFonts w:hint="eastAsia" w:ascii="宋体" w:hAnsi="宋体" w:cs="宋体"/>
          <w:color w:val="000000"/>
          <w:sz w:val="24"/>
        </w:rPr>
        <w:t>合格的投标人应具备以下条件：</w:t>
      </w:r>
    </w:p>
    <w:p>
      <w:pPr>
        <w:tabs>
          <w:tab w:val="left" w:pos="7665"/>
        </w:tabs>
        <w:spacing w:line="400" w:lineRule="exact"/>
        <w:ind w:firstLine="480" w:firstLineChars="200"/>
        <w:rPr>
          <w:rFonts w:ascii="宋体" w:hAnsi="宋体" w:cs="宋体"/>
          <w:color w:val="000000"/>
          <w:spacing w:val="-4"/>
          <w:sz w:val="24"/>
        </w:rPr>
      </w:pPr>
      <w:r>
        <w:rPr>
          <w:rFonts w:hint="eastAsia" w:ascii="宋体" w:hAnsi="宋体" w:cs="宋体"/>
          <w:color w:val="000000"/>
          <w:sz w:val="24"/>
        </w:rPr>
        <w:t>（1）具备“投标邀请”的基本条件</w:t>
      </w:r>
      <w:r>
        <w:rPr>
          <w:rFonts w:hint="eastAsia" w:ascii="宋体" w:hAnsi="宋体" w:cs="宋体"/>
          <w:color w:val="000000"/>
          <w:spacing w:val="-4"/>
          <w:sz w:val="24"/>
        </w:rPr>
        <w:t>；</w:t>
      </w:r>
    </w:p>
    <w:p>
      <w:pPr>
        <w:tabs>
          <w:tab w:val="left" w:pos="7665"/>
        </w:tabs>
        <w:spacing w:line="400" w:lineRule="exact"/>
        <w:rPr>
          <w:rFonts w:ascii="宋体" w:hAnsi="宋体" w:cs="宋体"/>
          <w:color w:val="000000"/>
          <w:sz w:val="24"/>
        </w:rPr>
      </w:pPr>
      <w:r>
        <w:rPr>
          <w:rFonts w:hint="eastAsia" w:ascii="宋体" w:hAnsi="宋体" w:cs="宋体"/>
          <w:color w:val="000000"/>
          <w:sz w:val="24"/>
        </w:rPr>
        <w:t xml:space="preserve">    （2）下载了招标文件并登记备案；</w:t>
      </w:r>
    </w:p>
    <w:p>
      <w:pPr>
        <w:tabs>
          <w:tab w:val="left" w:pos="7665"/>
        </w:tabs>
        <w:spacing w:line="400" w:lineRule="exact"/>
        <w:ind w:firstLine="480"/>
        <w:rPr>
          <w:rFonts w:ascii="宋体" w:hAnsi="宋体" w:cs="宋体"/>
          <w:color w:val="000000"/>
          <w:sz w:val="24"/>
        </w:rPr>
      </w:pPr>
      <w:r>
        <w:rPr>
          <w:rFonts w:hint="eastAsia" w:ascii="宋体" w:hAnsi="宋体" w:cs="宋体"/>
          <w:color w:val="000000"/>
          <w:sz w:val="24"/>
        </w:rPr>
        <w:t>（3）遵守国家有关的法律、法规和条例；</w:t>
      </w:r>
    </w:p>
    <w:p>
      <w:pPr>
        <w:tabs>
          <w:tab w:val="left" w:pos="7665"/>
        </w:tabs>
        <w:spacing w:line="400" w:lineRule="exact"/>
        <w:ind w:firstLine="480"/>
        <w:rPr>
          <w:rFonts w:ascii="宋体" w:hAnsi="宋体" w:cs="宋体"/>
          <w:color w:val="000000"/>
          <w:sz w:val="24"/>
        </w:rPr>
      </w:pPr>
      <w:r>
        <w:rPr>
          <w:rFonts w:hint="eastAsia" w:ascii="宋体" w:hAnsi="宋体" w:cs="宋体"/>
          <w:color w:val="000000"/>
          <w:sz w:val="24"/>
        </w:rPr>
        <w:t>（4）招标文件和法律、行政法规规定的其他条件。</w:t>
      </w:r>
    </w:p>
    <w:p>
      <w:pPr>
        <w:pStyle w:val="6"/>
        <w:spacing w:line="400" w:lineRule="exact"/>
        <w:ind w:firstLine="482" w:firstLineChars="200"/>
        <w:rPr>
          <w:rFonts w:ascii="宋体" w:hAnsi="宋体" w:cs="宋体"/>
          <w:color w:val="000000"/>
          <w:sz w:val="24"/>
        </w:rPr>
      </w:pPr>
      <w:bookmarkStart w:id="62" w:name="_Toc183682345"/>
      <w:bookmarkStart w:id="63" w:name="_Toc183582208"/>
      <w:bookmarkStart w:id="64" w:name="_Toc217446037"/>
      <w:r>
        <w:rPr>
          <w:rFonts w:hint="eastAsia" w:ascii="宋体" w:hAnsi="宋体" w:cs="宋体"/>
          <w:color w:val="000000"/>
          <w:sz w:val="24"/>
        </w:rPr>
        <w:t>4. 投标费用</w:t>
      </w:r>
      <w:bookmarkEnd w:id="62"/>
      <w:bookmarkEnd w:id="63"/>
      <w:bookmarkEnd w:id="64"/>
    </w:p>
    <w:p>
      <w:pPr>
        <w:tabs>
          <w:tab w:val="left" w:pos="7665"/>
        </w:tabs>
        <w:spacing w:line="400" w:lineRule="exact"/>
        <w:rPr>
          <w:rFonts w:ascii="宋体" w:hAnsi="宋体" w:cs="宋体"/>
          <w:b/>
          <w:color w:val="000000"/>
          <w:sz w:val="24"/>
        </w:rPr>
      </w:pPr>
      <w:r>
        <w:rPr>
          <w:rFonts w:hint="eastAsia" w:ascii="宋体" w:hAnsi="宋体" w:cs="宋体"/>
          <w:color w:val="000000"/>
          <w:sz w:val="24"/>
        </w:rPr>
        <w:t xml:space="preserve">    投标人参加投标的有关费用由投标人自行承担。</w:t>
      </w:r>
    </w:p>
    <w:p>
      <w:pPr>
        <w:pStyle w:val="5"/>
        <w:spacing w:line="400" w:lineRule="exact"/>
        <w:jc w:val="center"/>
        <w:rPr>
          <w:rFonts w:ascii="宋体" w:hAnsi="宋体" w:eastAsia="宋体" w:cs="宋体"/>
          <w:bCs w:val="0"/>
          <w:color w:val="000000"/>
        </w:rPr>
      </w:pPr>
      <w:bookmarkStart w:id="65" w:name="_Toc183582209"/>
      <w:bookmarkStart w:id="66" w:name="_Toc183682346"/>
      <w:bookmarkStart w:id="67" w:name="_Toc89075875"/>
      <w:bookmarkStart w:id="68" w:name="_Toc77400779"/>
      <w:bookmarkStart w:id="69" w:name="_Toc217446038"/>
      <w:r>
        <w:rPr>
          <w:rFonts w:hint="eastAsia" w:ascii="宋体" w:hAnsi="宋体" w:eastAsia="宋体" w:cs="宋体"/>
          <w:bCs w:val="0"/>
          <w:color w:val="000000"/>
        </w:rPr>
        <w:t>二、招标文件</w:t>
      </w:r>
      <w:bookmarkEnd w:id="65"/>
      <w:bookmarkEnd w:id="66"/>
      <w:bookmarkEnd w:id="67"/>
      <w:bookmarkEnd w:id="68"/>
      <w:bookmarkEnd w:id="69"/>
    </w:p>
    <w:p>
      <w:pPr>
        <w:pStyle w:val="6"/>
        <w:spacing w:line="400" w:lineRule="exact"/>
        <w:ind w:firstLine="482" w:firstLineChars="200"/>
        <w:rPr>
          <w:rFonts w:ascii="宋体" w:hAnsi="宋体" w:cs="宋体"/>
          <w:color w:val="000000"/>
          <w:sz w:val="24"/>
        </w:rPr>
      </w:pPr>
      <w:bookmarkStart w:id="70" w:name="_Toc183582210"/>
      <w:bookmarkStart w:id="71" w:name="_Toc217446039"/>
      <w:bookmarkStart w:id="72" w:name="_Toc183682347"/>
      <w:r>
        <w:rPr>
          <w:rFonts w:hint="eastAsia" w:ascii="宋体" w:hAnsi="宋体" w:cs="宋体"/>
          <w:color w:val="000000"/>
          <w:sz w:val="24"/>
        </w:rPr>
        <w:t>5．招标文件的构成</w:t>
      </w:r>
      <w:bookmarkEnd w:id="70"/>
      <w:bookmarkEnd w:id="71"/>
      <w:bookmarkEnd w:id="72"/>
    </w:p>
    <w:p>
      <w:pPr>
        <w:tabs>
          <w:tab w:val="left" w:pos="7665"/>
        </w:tabs>
        <w:spacing w:line="400" w:lineRule="exact"/>
        <w:rPr>
          <w:rFonts w:ascii="宋体" w:hAnsi="宋体" w:cs="宋体"/>
          <w:color w:val="000000"/>
          <w:sz w:val="24"/>
        </w:rPr>
      </w:pPr>
      <w:r>
        <w:rPr>
          <w:rFonts w:hint="eastAsia" w:ascii="宋体" w:hAnsi="宋体" w:cs="宋体"/>
          <w:color w:val="000000"/>
          <w:sz w:val="24"/>
        </w:rPr>
        <w:t xml:space="preserve">    5</w:t>
      </w:r>
      <w:r>
        <w:rPr>
          <w:rFonts w:hint="eastAsia" w:ascii="宋体" w:hAnsi="宋体" w:cs="宋体"/>
          <w:b/>
          <w:bCs/>
          <w:color w:val="000000"/>
          <w:sz w:val="24"/>
        </w:rPr>
        <w:t>.</w:t>
      </w:r>
      <w:r>
        <w:rPr>
          <w:rFonts w:hint="eastAsia" w:ascii="宋体" w:hAnsi="宋体" w:cs="宋体"/>
          <w:color w:val="000000"/>
          <w:sz w:val="24"/>
        </w:rPr>
        <w:t>1 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 xml:space="preserve">（1）投标邀请；  </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（2）投标人须知及前附表；</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（3）投标文件格式要求；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（4）投标人有关资格证明文件要求；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（5）招标项目及要求；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（6）评标办法；</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（7）合同主要条款。</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5</w:t>
      </w:r>
      <w:r>
        <w:rPr>
          <w:rFonts w:hint="eastAsia" w:ascii="宋体" w:hAnsi="宋体" w:cs="宋体"/>
          <w:b/>
          <w:bCs/>
          <w:color w:val="000000"/>
          <w:sz w:val="24"/>
        </w:rPr>
        <w:t>.</w:t>
      </w:r>
      <w:r>
        <w:rPr>
          <w:rFonts w:hint="eastAsia" w:ascii="宋体" w:hAnsi="宋体" w:cs="宋体"/>
          <w:color w:val="000000"/>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6"/>
        <w:spacing w:line="400" w:lineRule="exact"/>
        <w:ind w:firstLine="482" w:firstLineChars="200"/>
        <w:rPr>
          <w:rFonts w:ascii="宋体" w:hAnsi="宋体" w:cs="宋体"/>
          <w:color w:val="000000"/>
          <w:sz w:val="24"/>
        </w:rPr>
      </w:pPr>
      <w:bookmarkStart w:id="73" w:name="_Toc183682348"/>
      <w:bookmarkStart w:id="74" w:name="_Toc183582211"/>
      <w:bookmarkStart w:id="75" w:name="_Toc217446040"/>
      <w:r>
        <w:rPr>
          <w:rFonts w:hint="eastAsia" w:ascii="宋体" w:hAnsi="宋体" w:cs="宋体"/>
          <w:color w:val="000000"/>
          <w:sz w:val="24"/>
        </w:rPr>
        <w:t>6. 招标文件的澄清</w:t>
      </w:r>
      <w:bookmarkEnd w:id="73"/>
      <w:bookmarkEnd w:id="74"/>
      <w:r>
        <w:rPr>
          <w:rFonts w:hint="eastAsia" w:ascii="宋体" w:hAnsi="宋体" w:cs="宋体"/>
          <w:color w:val="000000"/>
          <w:sz w:val="24"/>
        </w:rPr>
        <w:t>和修改</w:t>
      </w:r>
      <w:bookmarkEnd w:id="75"/>
    </w:p>
    <w:p>
      <w:pPr>
        <w:tabs>
          <w:tab w:val="left" w:pos="720"/>
        </w:tabs>
        <w:spacing w:line="400" w:lineRule="exact"/>
        <w:ind w:firstLine="480" w:firstLineChars="200"/>
        <w:rPr>
          <w:rFonts w:ascii="宋体" w:hAnsi="宋体" w:cs="宋体"/>
          <w:color w:val="000000"/>
          <w:sz w:val="24"/>
        </w:rPr>
      </w:pPr>
      <w:r>
        <w:rPr>
          <w:rFonts w:hint="eastAsia" w:ascii="宋体" w:hAnsi="宋体" w:cs="宋体"/>
          <w:color w:val="000000"/>
          <w:sz w:val="24"/>
        </w:rPr>
        <w:t>6.1 在投标截止时间前，招标采购单位无论出于何种原因，可以对招标文件进行澄清或者修改。</w:t>
      </w:r>
    </w:p>
    <w:p>
      <w:pPr>
        <w:spacing w:line="400" w:lineRule="exact"/>
        <w:ind w:firstLine="480" w:firstLineChars="200"/>
        <w:rPr>
          <w:rFonts w:ascii="宋体" w:hAnsi="宋体" w:cs="宋体"/>
          <w:color w:val="000000"/>
          <w:sz w:val="24"/>
        </w:rPr>
      </w:pPr>
      <w:r>
        <w:rPr>
          <w:rFonts w:hint="eastAsia" w:ascii="宋体" w:hAnsi="宋体" w:cs="宋体"/>
          <w:color w:val="000000"/>
          <w:sz w:val="24"/>
        </w:rPr>
        <w:t>6.2 招标采购单位对已发出的招标文件进行澄清或者修改，将在招标文件要求的提交投标文件截止时间十日前进行在重庆交通职业学院官网上发布公告，并以书面形式将澄清或者修改的内容通知所有下载了招标文件的供应商。该澄清或者修改的内容为招标文件的组成部分。</w:t>
      </w:r>
    </w:p>
    <w:p>
      <w:pPr>
        <w:spacing w:line="400" w:lineRule="exact"/>
        <w:ind w:firstLine="480" w:firstLineChars="200"/>
        <w:rPr>
          <w:rFonts w:ascii="宋体" w:hAnsi="宋体" w:cs="宋体"/>
          <w:color w:val="000000"/>
          <w:sz w:val="24"/>
        </w:rPr>
      </w:pPr>
      <w:r>
        <w:rPr>
          <w:rFonts w:hint="eastAsia" w:ascii="宋体" w:hAnsi="宋体" w:cs="宋体"/>
          <w:color w:val="000000"/>
          <w:sz w:val="24"/>
        </w:rPr>
        <w:t>6.3 在投标截止时间前，招标采购单位可以视采购具体情况，延长投标截止时间和开标时间，并将变更时间以书面形式通知所有下载了招标文件的供应商。</w:t>
      </w:r>
    </w:p>
    <w:p>
      <w:pPr>
        <w:pStyle w:val="6"/>
        <w:spacing w:line="400" w:lineRule="exact"/>
        <w:ind w:firstLine="482" w:firstLineChars="200"/>
        <w:rPr>
          <w:rFonts w:ascii="宋体" w:hAnsi="宋体" w:cs="宋体"/>
          <w:color w:val="000000"/>
          <w:sz w:val="24"/>
        </w:rPr>
      </w:pPr>
      <w:bookmarkStart w:id="76" w:name="_Toc183682350"/>
      <w:bookmarkStart w:id="77" w:name="_Toc183582213"/>
      <w:bookmarkStart w:id="78" w:name="_Toc217446041"/>
      <w:bookmarkStart w:id="79" w:name="_Toc208848971"/>
      <w:r>
        <w:rPr>
          <w:rFonts w:hint="eastAsia" w:ascii="宋体" w:hAnsi="宋体" w:cs="宋体"/>
          <w:color w:val="000000"/>
          <w:sz w:val="24"/>
        </w:rPr>
        <w:t>7</w:t>
      </w:r>
      <w:bookmarkEnd w:id="76"/>
      <w:bookmarkEnd w:id="77"/>
      <w:r>
        <w:rPr>
          <w:rFonts w:hint="eastAsia" w:ascii="宋体" w:hAnsi="宋体" w:cs="宋体"/>
          <w:color w:val="000000"/>
          <w:sz w:val="24"/>
        </w:rPr>
        <w:t>. 答疑会和现场考察</w:t>
      </w:r>
      <w:bookmarkEnd w:id="78"/>
      <w:bookmarkEnd w:id="79"/>
    </w:p>
    <w:p>
      <w:pPr>
        <w:spacing w:line="400" w:lineRule="exact"/>
        <w:ind w:firstLine="480" w:firstLineChars="200"/>
        <w:rPr>
          <w:rFonts w:ascii="宋体" w:hAnsi="宋体" w:cs="宋体"/>
          <w:color w:val="000000"/>
          <w:sz w:val="24"/>
        </w:rPr>
      </w:pPr>
      <w:r>
        <w:rPr>
          <w:rFonts w:hint="eastAsia" w:ascii="宋体" w:hAnsi="宋体" w:cs="宋体"/>
          <w:color w:val="000000"/>
          <w:sz w:val="24"/>
        </w:rPr>
        <w:t>7.1 根据采购项目和具体情况，招标采购单位认为有必要，可以组织召开标前答疑会或组织投标人对项目现场进行考察。答疑会或进行现场考察的时间，招标采购单位将以书面形式通知所有购买了招标文件的供应商。</w:t>
      </w:r>
    </w:p>
    <w:p>
      <w:pPr>
        <w:adjustRightInd w:val="0"/>
        <w:snapToGrid w:val="0"/>
        <w:spacing w:line="400" w:lineRule="exact"/>
        <w:ind w:firstLine="420" w:firstLineChars="175"/>
        <w:rPr>
          <w:rFonts w:ascii="宋体" w:hAnsi="宋体" w:cs="宋体"/>
          <w:color w:val="000000"/>
          <w:sz w:val="24"/>
        </w:rPr>
      </w:pPr>
      <w:r>
        <w:rPr>
          <w:rFonts w:hint="eastAsia" w:ascii="宋体" w:hAnsi="宋体" w:cs="宋体"/>
          <w:color w:val="000000"/>
          <w:sz w:val="24"/>
        </w:rPr>
        <w:t>7.2 供应商考察现场所发生的一切费用由供应商自己承担。</w:t>
      </w:r>
    </w:p>
    <w:p>
      <w:pPr>
        <w:pStyle w:val="5"/>
        <w:spacing w:line="400" w:lineRule="exact"/>
        <w:jc w:val="center"/>
        <w:rPr>
          <w:rFonts w:ascii="宋体" w:hAnsi="宋体" w:eastAsia="宋体" w:cs="宋体"/>
          <w:bCs w:val="0"/>
          <w:color w:val="000000"/>
        </w:rPr>
      </w:pPr>
      <w:bookmarkStart w:id="80" w:name="_Toc77400780"/>
      <w:bookmarkStart w:id="81" w:name="_Toc89075876"/>
      <w:bookmarkStart w:id="82" w:name="_Toc183582214"/>
      <w:bookmarkStart w:id="83" w:name="_Toc183682351"/>
      <w:bookmarkStart w:id="84" w:name="_Toc217446042"/>
      <w:r>
        <w:rPr>
          <w:rFonts w:hint="eastAsia" w:ascii="宋体" w:hAnsi="宋体" w:eastAsia="宋体" w:cs="宋体"/>
          <w:bCs w:val="0"/>
          <w:color w:val="000000"/>
        </w:rPr>
        <w:t>三、投标文件</w:t>
      </w:r>
      <w:bookmarkEnd w:id="80"/>
      <w:bookmarkEnd w:id="81"/>
      <w:bookmarkEnd w:id="82"/>
      <w:bookmarkEnd w:id="83"/>
      <w:bookmarkEnd w:id="84"/>
    </w:p>
    <w:p>
      <w:pPr>
        <w:pStyle w:val="6"/>
        <w:spacing w:line="400" w:lineRule="exact"/>
        <w:ind w:firstLine="482" w:firstLineChars="200"/>
        <w:rPr>
          <w:rFonts w:ascii="宋体" w:hAnsi="宋体" w:cs="宋体"/>
          <w:bCs/>
          <w:color w:val="000000"/>
          <w:sz w:val="24"/>
        </w:rPr>
      </w:pPr>
      <w:bookmarkStart w:id="85" w:name="_Toc183682352"/>
      <w:bookmarkStart w:id="86" w:name="_Toc183582215"/>
      <w:bookmarkStart w:id="87" w:name="_Toc217446043"/>
      <w:r>
        <w:rPr>
          <w:rFonts w:hint="eastAsia" w:ascii="宋体" w:hAnsi="宋体" w:cs="宋体"/>
          <w:bCs/>
          <w:color w:val="000000"/>
          <w:sz w:val="24"/>
        </w:rPr>
        <w:t>8．投标文件的语言</w:t>
      </w:r>
      <w:bookmarkEnd w:id="85"/>
      <w:bookmarkEnd w:id="86"/>
      <w:bookmarkEnd w:id="87"/>
    </w:p>
    <w:p>
      <w:pPr>
        <w:spacing w:line="400" w:lineRule="exact"/>
        <w:ind w:firstLine="480" w:firstLineChars="200"/>
        <w:rPr>
          <w:rFonts w:ascii="宋体" w:hAnsi="宋体" w:cs="宋体"/>
          <w:color w:val="000000"/>
          <w:sz w:val="24"/>
        </w:rPr>
      </w:pPr>
      <w:r>
        <w:rPr>
          <w:rFonts w:hint="eastAsia" w:ascii="宋体" w:hAnsi="宋体" w:cs="宋体"/>
          <w:color w:val="000000"/>
          <w:sz w:val="24"/>
        </w:rPr>
        <w:t>8.1 投标人提交的投标文件以及投标人与招标采购单位就有关投标的所有来往书面文件均须使用中文。投标文件中如附有外文资料，主要部分对应翻译成中文并加盖投标人公章后附在相关外文资料后面。</w:t>
      </w:r>
    </w:p>
    <w:p>
      <w:pPr>
        <w:spacing w:line="400" w:lineRule="exact"/>
        <w:ind w:firstLine="480" w:firstLineChars="200"/>
        <w:rPr>
          <w:rFonts w:ascii="宋体" w:hAnsi="宋体" w:cs="宋体"/>
          <w:color w:val="000000"/>
          <w:sz w:val="24"/>
        </w:rPr>
      </w:pPr>
      <w:r>
        <w:rPr>
          <w:rFonts w:hint="eastAsia" w:ascii="宋体" w:hAnsi="宋体" w:cs="宋体"/>
          <w:color w:val="000000"/>
          <w:sz w:val="24"/>
        </w:rPr>
        <w:t>8.2 翻译的中文资料与外文资料如果出现差异和矛盾时，以中文为准。但不能故意错误翻译，否则，投标人的投标文件将作为无效投标处理。</w:t>
      </w:r>
    </w:p>
    <w:p>
      <w:pPr>
        <w:pStyle w:val="6"/>
        <w:spacing w:line="400" w:lineRule="exact"/>
        <w:ind w:firstLine="482" w:firstLineChars="200"/>
        <w:rPr>
          <w:rFonts w:ascii="宋体" w:hAnsi="宋体" w:cs="宋体"/>
          <w:color w:val="000000"/>
          <w:sz w:val="24"/>
        </w:rPr>
      </w:pPr>
      <w:bookmarkStart w:id="88" w:name="_Toc217446044"/>
      <w:bookmarkStart w:id="89" w:name="_Toc183582216"/>
      <w:bookmarkStart w:id="90" w:name="_Toc183682353"/>
      <w:r>
        <w:rPr>
          <w:rFonts w:hint="eastAsia" w:ascii="宋体" w:hAnsi="宋体" w:cs="宋体"/>
          <w:color w:val="000000"/>
          <w:sz w:val="24"/>
        </w:rPr>
        <w:t>9．计量单位</w:t>
      </w:r>
      <w:bookmarkEnd w:id="88"/>
      <w:bookmarkEnd w:id="89"/>
      <w:bookmarkEnd w:id="90"/>
    </w:p>
    <w:p>
      <w:pPr>
        <w:spacing w:line="400" w:lineRule="exact"/>
        <w:ind w:firstLine="470" w:firstLineChars="196"/>
        <w:rPr>
          <w:rFonts w:ascii="宋体" w:hAnsi="宋体" w:cs="宋体"/>
          <w:color w:val="000000"/>
          <w:sz w:val="24"/>
        </w:rPr>
      </w:pPr>
      <w:r>
        <w:rPr>
          <w:rFonts w:hint="eastAsia" w:ascii="宋体" w:hAnsi="宋体" w:cs="宋体"/>
          <w:color w:val="000000"/>
          <w:sz w:val="24"/>
        </w:rPr>
        <w:t>除技术规格及要求中另有规定外，本采购项下的投标均采用国家法定的计量单位。</w:t>
      </w:r>
    </w:p>
    <w:p>
      <w:pPr>
        <w:pStyle w:val="6"/>
        <w:spacing w:line="400" w:lineRule="exact"/>
        <w:ind w:firstLine="482" w:firstLineChars="200"/>
        <w:rPr>
          <w:rFonts w:hint="eastAsia" w:ascii="宋体" w:hAnsi="宋体" w:cs="宋体"/>
          <w:bCs/>
          <w:color w:val="000000"/>
          <w:sz w:val="24"/>
        </w:rPr>
      </w:pPr>
      <w:bookmarkStart w:id="91" w:name="_Toc217446045"/>
      <w:r>
        <w:rPr>
          <w:rFonts w:hint="eastAsia" w:ascii="宋体" w:hAnsi="宋体" w:cs="宋体"/>
          <w:bCs/>
          <w:color w:val="000000"/>
          <w:sz w:val="24"/>
        </w:rPr>
        <w:t>10. 投标货币</w:t>
      </w:r>
      <w:bookmarkEnd w:id="91"/>
    </w:p>
    <w:p>
      <w:pPr>
        <w:tabs>
          <w:tab w:val="left" w:pos="7665"/>
        </w:tabs>
        <w:spacing w:line="400" w:lineRule="exact"/>
        <w:ind w:left="13" w:hanging="118"/>
        <w:rPr>
          <w:rFonts w:ascii="宋体" w:hAnsi="宋体" w:cs="宋体"/>
          <w:color w:val="000000"/>
          <w:sz w:val="24"/>
        </w:rPr>
      </w:pPr>
      <w:r>
        <w:rPr>
          <w:rFonts w:hint="eastAsia" w:ascii="宋体" w:hAnsi="宋体" w:cs="宋体"/>
          <w:color w:val="000000"/>
          <w:sz w:val="24"/>
        </w:rPr>
        <w:t xml:space="preserve"> 本次招标项目的投标均以人民币报价。</w:t>
      </w:r>
    </w:p>
    <w:p>
      <w:pPr>
        <w:pStyle w:val="6"/>
        <w:spacing w:line="400" w:lineRule="exact"/>
        <w:ind w:firstLine="482" w:firstLineChars="200"/>
        <w:rPr>
          <w:rFonts w:hint="eastAsia" w:ascii="宋体" w:hAnsi="宋体" w:cs="宋体"/>
          <w:bCs/>
          <w:color w:val="000000"/>
          <w:sz w:val="24"/>
        </w:rPr>
      </w:pPr>
      <w:bookmarkStart w:id="92" w:name="_Toc217446046"/>
      <w:r>
        <w:rPr>
          <w:rFonts w:hint="eastAsia" w:ascii="宋体" w:hAnsi="宋体" w:cs="宋体"/>
          <w:bCs/>
          <w:color w:val="000000"/>
          <w:sz w:val="24"/>
        </w:rPr>
        <w:t>11. 联合体投标</w:t>
      </w:r>
      <w:bookmarkEnd w:id="92"/>
      <w:r>
        <w:rPr>
          <w:rFonts w:hint="eastAsia" w:ascii="宋体" w:hAnsi="宋体" w:cs="宋体"/>
          <w:bCs/>
          <w:color w:val="000000"/>
          <w:sz w:val="24"/>
        </w:rPr>
        <w:t>（本项目不适用）</w:t>
      </w:r>
    </w:p>
    <w:p>
      <w:pPr>
        <w:pStyle w:val="6"/>
        <w:spacing w:line="400" w:lineRule="exact"/>
        <w:ind w:firstLine="482" w:firstLineChars="200"/>
        <w:rPr>
          <w:rFonts w:ascii="宋体" w:hAnsi="宋体" w:cs="宋体"/>
          <w:bCs/>
          <w:color w:val="000000"/>
          <w:sz w:val="24"/>
        </w:rPr>
      </w:pPr>
      <w:bookmarkStart w:id="93" w:name="_Toc217446047"/>
      <w:r>
        <w:rPr>
          <w:rFonts w:hint="eastAsia" w:ascii="宋体" w:hAnsi="宋体" w:cs="宋体"/>
          <w:bCs/>
          <w:color w:val="000000"/>
          <w:sz w:val="24"/>
        </w:rPr>
        <w:t>12. 知识产权</w:t>
      </w:r>
      <w:bookmarkEnd w:id="93"/>
    </w:p>
    <w:p>
      <w:pPr>
        <w:pStyle w:val="8"/>
        <w:spacing w:line="400" w:lineRule="exact"/>
        <w:ind w:firstLine="480" w:firstLineChars="200"/>
        <w:rPr>
          <w:rFonts w:ascii="宋体" w:hAnsi="宋体" w:cs="宋体"/>
          <w:color w:val="000000"/>
          <w:sz w:val="24"/>
        </w:rPr>
      </w:pPr>
      <w:r>
        <w:rPr>
          <w:rFonts w:hint="eastAsia" w:ascii="宋体" w:hAnsi="宋体" w:cs="宋体"/>
          <w:color w:val="000000"/>
          <w:sz w:val="24"/>
        </w:rPr>
        <w:t>12.1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8"/>
        <w:spacing w:line="400" w:lineRule="exact"/>
        <w:ind w:firstLine="480" w:firstLineChars="200"/>
        <w:rPr>
          <w:rFonts w:ascii="宋体" w:hAnsi="宋体" w:cs="宋体"/>
          <w:color w:val="000000"/>
          <w:sz w:val="24"/>
        </w:rPr>
      </w:pPr>
      <w:r>
        <w:rPr>
          <w:rFonts w:hint="eastAsia" w:ascii="宋体" w:hAnsi="宋体" w:cs="宋体"/>
          <w:color w:val="000000"/>
          <w:sz w:val="24"/>
        </w:rPr>
        <w:t>12.2 招标人享有本项目实施过程中产生的知识成果及知识产权。</w:t>
      </w:r>
    </w:p>
    <w:p>
      <w:pPr>
        <w:spacing w:line="400" w:lineRule="exact"/>
        <w:ind w:firstLine="480" w:firstLineChars="200"/>
        <w:rPr>
          <w:rFonts w:ascii="宋体" w:hAnsi="宋体" w:cs="宋体"/>
          <w:color w:val="000000"/>
          <w:sz w:val="24"/>
        </w:rPr>
      </w:pPr>
      <w:r>
        <w:rPr>
          <w:rFonts w:hint="eastAsia" w:ascii="宋体" w:hAnsi="宋体" w:cs="宋体"/>
          <w:color w:val="000000"/>
          <w:sz w:val="24"/>
        </w:rPr>
        <w:t>12.3 投标人如欲在项目实施过程中采用自有知识成果，需在投标文件中声明，并提供相关知识产权证明文件。使用该知识成果后，投标人需提供开发接口和开发手册等技术文档，并承诺提供无限期技术支持，招标人享有永久使用权。</w:t>
      </w:r>
    </w:p>
    <w:p>
      <w:pPr>
        <w:spacing w:line="400" w:lineRule="exact"/>
        <w:ind w:firstLine="460" w:firstLineChars="192"/>
        <w:rPr>
          <w:rFonts w:ascii="宋体" w:hAnsi="宋体" w:cs="宋体"/>
          <w:color w:val="000000"/>
          <w:sz w:val="24"/>
        </w:rPr>
      </w:pPr>
      <w:r>
        <w:rPr>
          <w:rFonts w:hint="eastAsia" w:ascii="宋体" w:hAnsi="宋体" w:cs="宋体"/>
          <w:color w:val="000000"/>
          <w:sz w:val="24"/>
        </w:rPr>
        <w:t xml:space="preserve">12.4 如采用投标人所不拥有的知识产权，则在投标报价中必须包括合法获取该知识产权的相关费用。 </w:t>
      </w:r>
    </w:p>
    <w:p>
      <w:pPr>
        <w:pStyle w:val="6"/>
        <w:spacing w:line="400" w:lineRule="exact"/>
        <w:ind w:firstLine="482" w:firstLineChars="200"/>
        <w:rPr>
          <w:rFonts w:ascii="宋体" w:hAnsi="宋体" w:cs="宋体"/>
          <w:color w:val="000000"/>
          <w:sz w:val="24"/>
        </w:rPr>
      </w:pPr>
      <w:bookmarkStart w:id="94" w:name="_Toc183582217"/>
      <w:bookmarkStart w:id="95" w:name="_Toc217446048"/>
      <w:bookmarkStart w:id="96" w:name="_Toc183682354"/>
      <w:r>
        <w:rPr>
          <w:rFonts w:hint="eastAsia" w:ascii="宋体" w:hAnsi="宋体" w:cs="宋体"/>
          <w:color w:val="000000"/>
          <w:sz w:val="24"/>
        </w:rPr>
        <w:t>13．投标文件的组成</w:t>
      </w:r>
      <w:bookmarkEnd w:id="94"/>
      <w:bookmarkEnd w:id="95"/>
      <w:bookmarkEnd w:id="96"/>
    </w:p>
    <w:p>
      <w:pPr>
        <w:spacing w:line="400" w:lineRule="exact"/>
        <w:ind w:firstLine="470" w:firstLineChars="196"/>
        <w:rPr>
          <w:rFonts w:ascii="宋体" w:hAnsi="宋体" w:cs="宋体"/>
          <w:color w:val="000000"/>
          <w:sz w:val="24"/>
        </w:rPr>
      </w:pPr>
      <w:r>
        <w:rPr>
          <w:rFonts w:hint="eastAsia" w:ascii="宋体" w:hAnsi="宋体" w:cs="宋体"/>
          <w:color w:val="000000"/>
          <w:sz w:val="24"/>
        </w:rPr>
        <w:t>投标人应按照招标文件的规定和要求编制投标文件。投标人拟在中标后将中标项目的非主体、非关键性工作交由他人完成的，应当在投标文件中载明。投标人编写的投标文件应包括下列部分：</w:t>
      </w:r>
    </w:p>
    <w:p>
      <w:pPr>
        <w:spacing w:line="400" w:lineRule="exact"/>
        <w:ind w:firstLine="472" w:firstLineChars="196"/>
        <w:rPr>
          <w:rFonts w:ascii="宋体" w:hAnsi="宋体" w:cs="宋体"/>
          <w:color w:val="000000"/>
          <w:sz w:val="24"/>
        </w:rPr>
      </w:pPr>
      <w:r>
        <w:rPr>
          <w:rFonts w:hint="eastAsia" w:ascii="宋体" w:hAnsi="宋体" w:cs="宋体"/>
          <w:b/>
          <w:color w:val="000000"/>
          <w:sz w:val="24"/>
        </w:rPr>
        <w:t>13.1 报价部分。</w:t>
      </w:r>
      <w:r>
        <w:rPr>
          <w:rFonts w:hint="eastAsia" w:ascii="宋体" w:hAnsi="宋体" w:cs="宋体"/>
          <w:bCs/>
          <w:color w:val="000000"/>
          <w:sz w:val="24"/>
        </w:rPr>
        <w:t>投标人</w:t>
      </w:r>
      <w:r>
        <w:rPr>
          <w:rFonts w:hint="eastAsia" w:ascii="宋体" w:hAnsi="宋体" w:cs="宋体"/>
          <w:color w:val="000000"/>
          <w:sz w:val="24"/>
        </w:rPr>
        <w:t>按照招标文件要求填写的“开标一览表”及“报价明细表”。 本次招标报价要求：</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（1）投标人的报价是投标人响应招标项目要求的全部工作内容的价格体现，包括投标人完成本项目所需的一切费用。</w:t>
      </w:r>
    </w:p>
    <w:p>
      <w:pPr>
        <w:spacing w:line="400" w:lineRule="exact"/>
        <w:ind w:left="2" w:firstLine="352" w:firstLineChars="147"/>
        <w:rPr>
          <w:rFonts w:ascii="宋体" w:hAnsi="宋体" w:cs="宋体"/>
          <w:color w:val="000000"/>
          <w:sz w:val="24"/>
        </w:rPr>
      </w:pPr>
      <w:r>
        <w:rPr>
          <w:rFonts w:hint="eastAsia" w:ascii="宋体" w:hAnsi="宋体" w:cs="宋体"/>
          <w:color w:val="000000"/>
          <w:sz w:val="24"/>
        </w:rPr>
        <w:t xml:space="preserve"> （2）投标人每种货物只允许有一个报价，并且在合同履行过程中是固定不变的，任何有选择或可调整的报价将不予接受，并按无效投标处理。</w:t>
      </w:r>
    </w:p>
    <w:p>
      <w:pPr>
        <w:tabs>
          <w:tab w:val="left" w:pos="540"/>
        </w:tabs>
        <w:spacing w:line="400" w:lineRule="exact"/>
        <w:ind w:firstLine="472" w:firstLineChars="196"/>
        <w:rPr>
          <w:rFonts w:ascii="宋体" w:hAnsi="宋体" w:cs="宋体"/>
          <w:color w:val="000000"/>
          <w:sz w:val="24"/>
        </w:rPr>
      </w:pPr>
      <w:r>
        <w:rPr>
          <w:rFonts w:hint="eastAsia" w:ascii="宋体" w:hAnsi="宋体" w:cs="宋体"/>
          <w:b/>
          <w:bCs/>
          <w:color w:val="000000"/>
          <w:sz w:val="24"/>
        </w:rPr>
        <w:t>13.2 技术部分。</w:t>
      </w:r>
      <w:r>
        <w:rPr>
          <w:rFonts w:hint="eastAsia" w:ascii="宋体" w:hAnsi="宋体" w:cs="宋体"/>
          <w:bCs/>
          <w:color w:val="000000"/>
          <w:sz w:val="24"/>
        </w:rPr>
        <w:t>投标人</w:t>
      </w:r>
      <w:r>
        <w:rPr>
          <w:rFonts w:hint="eastAsia" w:ascii="宋体" w:hAnsi="宋体" w:cs="宋体"/>
          <w:color w:val="000000"/>
          <w:sz w:val="24"/>
        </w:rPr>
        <w:t>按照招标文件要求做出的技术应答，主要是针对招标项目的技术指标、参数和技术要求做出的实质性响应和满足。投标人的技术应答应包括下列内容：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（1）投标产品的品牌、型号、配置；</w:t>
      </w:r>
    </w:p>
    <w:p>
      <w:pPr>
        <w:spacing w:line="400" w:lineRule="exact"/>
        <w:ind w:firstLine="480" w:firstLineChars="200"/>
        <w:rPr>
          <w:rFonts w:ascii="宋体" w:hAnsi="宋体" w:cs="宋体"/>
          <w:color w:val="000000"/>
          <w:sz w:val="24"/>
        </w:rPr>
      </w:pPr>
      <w:r>
        <w:rPr>
          <w:rFonts w:hint="eastAsia" w:ascii="宋体" w:hAnsi="宋体" w:cs="宋体"/>
          <w:color w:val="000000"/>
          <w:sz w:val="24"/>
        </w:rPr>
        <w:t>（2）详细的技术指标和参数；</w:t>
      </w:r>
    </w:p>
    <w:p>
      <w:pPr>
        <w:spacing w:line="400" w:lineRule="exact"/>
        <w:ind w:firstLine="480" w:firstLineChars="200"/>
        <w:rPr>
          <w:rFonts w:ascii="宋体" w:hAnsi="宋体" w:cs="宋体"/>
          <w:color w:val="000000"/>
          <w:sz w:val="24"/>
        </w:rPr>
      </w:pPr>
      <w:r>
        <w:rPr>
          <w:rFonts w:hint="eastAsia" w:ascii="宋体" w:hAnsi="宋体" w:cs="宋体"/>
          <w:color w:val="000000"/>
          <w:sz w:val="24"/>
        </w:rPr>
        <w:t>（3）技术要求偏离表；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（4）产品工作环境条件；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（5）产品验收标准和验收方法；</w:t>
      </w:r>
    </w:p>
    <w:p>
      <w:pPr>
        <w:spacing w:line="400" w:lineRule="exact"/>
        <w:ind w:firstLine="480" w:firstLineChars="200"/>
        <w:rPr>
          <w:rFonts w:ascii="宋体" w:hAnsi="宋体" w:cs="宋体"/>
          <w:color w:val="000000"/>
          <w:sz w:val="24"/>
        </w:rPr>
      </w:pPr>
      <w:r>
        <w:rPr>
          <w:rFonts w:hint="eastAsia" w:ascii="宋体" w:hAnsi="宋体" w:cs="宋体"/>
          <w:color w:val="000000"/>
          <w:sz w:val="24"/>
        </w:rPr>
        <w:t>（6）产品验收清单（注明各部件的品名、数量、价格、规格型号和原产地或生产厂家）。</w:t>
      </w:r>
    </w:p>
    <w:p>
      <w:pPr>
        <w:spacing w:line="400" w:lineRule="exact"/>
        <w:ind w:firstLine="480" w:firstLineChars="200"/>
        <w:rPr>
          <w:rFonts w:ascii="宋体" w:hAnsi="宋体" w:cs="宋体"/>
          <w:color w:val="000000"/>
          <w:sz w:val="24"/>
        </w:rPr>
      </w:pPr>
      <w:r>
        <w:rPr>
          <w:rFonts w:hint="eastAsia" w:ascii="宋体" w:hAnsi="宋体" w:cs="宋体"/>
          <w:color w:val="000000"/>
          <w:sz w:val="24"/>
        </w:rPr>
        <w:t>（7）投标人认为需要提供的文件和资料。</w:t>
      </w:r>
    </w:p>
    <w:p>
      <w:pPr>
        <w:spacing w:line="400" w:lineRule="exact"/>
        <w:ind w:firstLine="241" w:firstLineChars="100"/>
        <w:rPr>
          <w:rFonts w:ascii="宋体" w:hAnsi="宋体" w:cs="宋体"/>
          <w:b/>
          <w:bCs/>
          <w:color w:val="000000"/>
          <w:sz w:val="24"/>
        </w:rPr>
      </w:pPr>
    </w:p>
    <w:p>
      <w:pPr>
        <w:spacing w:line="400" w:lineRule="exact"/>
        <w:ind w:firstLine="472" w:firstLineChars="196"/>
        <w:rPr>
          <w:rFonts w:ascii="宋体" w:hAnsi="宋体" w:cs="宋体"/>
          <w:color w:val="000000"/>
          <w:sz w:val="24"/>
        </w:rPr>
      </w:pPr>
      <w:r>
        <w:rPr>
          <w:rFonts w:hint="eastAsia" w:ascii="宋体" w:hAnsi="宋体" w:cs="宋体"/>
          <w:b/>
          <w:bCs/>
          <w:color w:val="000000"/>
          <w:sz w:val="24"/>
        </w:rPr>
        <w:t>13.3 商务部分。</w:t>
      </w:r>
      <w:r>
        <w:rPr>
          <w:rFonts w:hint="eastAsia" w:ascii="宋体" w:hAnsi="宋体" w:cs="宋体"/>
          <w:bCs/>
          <w:color w:val="000000"/>
          <w:sz w:val="24"/>
        </w:rPr>
        <w:t>投标人</w:t>
      </w:r>
      <w:r>
        <w:rPr>
          <w:rFonts w:hint="eastAsia" w:ascii="宋体" w:hAnsi="宋体" w:cs="宋体"/>
          <w:color w:val="000000"/>
          <w:sz w:val="24"/>
        </w:rPr>
        <w:t>按照招标文件要求提供的有关资质证明文件及优惠承诺。包括以下内容：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（1）投标函；</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（2）投标人企业法人营业执照副本、税务登记证副本复印件；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（3）投标人组织机构代码证复印件；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（4）法定代表人授权书原件；（非法定代表人投标））</w:t>
      </w:r>
    </w:p>
    <w:p>
      <w:pPr>
        <w:spacing w:line="400" w:lineRule="exact"/>
        <w:ind w:firstLine="480" w:firstLineChars="200"/>
        <w:rPr>
          <w:rFonts w:ascii="宋体" w:hAnsi="宋体" w:cs="宋体"/>
          <w:color w:val="000000"/>
          <w:sz w:val="24"/>
        </w:rPr>
      </w:pPr>
      <w:r>
        <w:rPr>
          <w:rFonts w:hint="eastAsia" w:ascii="宋体" w:hAnsi="宋体" w:cs="宋体"/>
          <w:color w:val="000000"/>
          <w:sz w:val="24"/>
        </w:rPr>
        <w:t>（5）授权代表身份证复印件；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（6）证明投标人业绩和荣誉的有关材料；</w:t>
      </w:r>
    </w:p>
    <w:p>
      <w:pPr>
        <w:spacing w:line="400" w:lineRule="exact"/>
        <w:ind w:firstLine="480" w:firstLineChars="200"/>
        <w:rPr>
          <w:rFonts w:ascii="宋体" w:hAnsi="宋体" w:cs="宋体"/>
          <w:color w:val="000000"/>
          <w:sz w:val="24"/>
        </w:rPr>
      </w:pPr>
      <w:r>
        <w:rPr>
          <w:rFonts w:hint="eastAsia" w:ascii="宋体" w:hAnsi="宋体" w:cs="宋体"/>
          <w:color w:val="000000"/>
          <w:sz w:val="24"/>
        </w:rPr>
        <w:t>（7）商务条款偏离表；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（8）其他投标人认为需要提供的文件和资料。</w:t>
      </w:r>
    </w:p>
    <w:p>
      <w:pPr>
        <w:spacing w:line="400" w:lineRule="exact"/>
        <w:ind w:firstLine="540" w:firstLineChars="225"/>
        <w:rPr>
          <w:rFonts w:ascii="宋体" w:hAnsi="宋体" w:cs="宋体"/>
          <w:color w:val="000000"/>
          <w:sz w:val="24"/>
        </w:rPr>
      </w:pPr>
    </w:p>
    <w:p>
      <w:pPr>
        <w:spacing w:line="400" w:lineRule="exact"/>
        <w:ind w:left="2" w:leftChars="1" w:firstLine="482" w:firstLineChars="200"/>
        <w:rPr>
          <w:rFonts w:ascii="宋体" w:hAnsi="宋体" w:cs="宋体"/>
          <w:bCs/>
          <w:color w:val="000000"/>
          <w:sz w:val="24"/>
        </w:rPr>
      </w:pPr>
      <w:r>
        <w:rPr>
          <w:rFonts w:hint="eastAsia" w:ascii="宋体" w:hAnsi="宋体" w:cs="宋体"/>
          <w:b/>
          <w:bCs/>
          <w:color w:val="000000"/>
          <w:sz w:val="24"/>
        </w:rPr>
        <w:t>13.4 售后服务。</w:t>
      </w:r>
      <w:r>
        <w:rPr>
          <w:rFonts w:hint="eastAsia" w:ascii="宋体" w:hAnsi="宋体" w:cs="宋体"/>
          <w:bCs/>
          <w:color w:val="000000"/>
          <w:sz w:val="24"/>
        </w:rPr>
        <w:t>投标人按照招标文件中售后服务要求作出的积极响应和承诺。包括以下内容：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（1）说明投标产品的保修时间、保修期内的保修内容与范围、维修响应时间等。分别提供产品制造厂家和投标人的服务承诺和保障措施；</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（2）培训措施：说明培训内容及培训的时间、地点、目标、培训人数、收费标准和办法；</w:t>
      </w:r>
    </w:p>
    <w:p>
      <w:pPr>
        <w:spacing w:line="400" w:lineRule="exact"/>
        <w:ind w:firstLine="480" w:firstLineChars="200"/>
        <w:rPr>
          <w:rFonts w:ascii="宋体" w:hAnsi="宋体" w:cs="宋体"/>
          <w:color w:val="FF0000"/>
          <w:sz w:val="24"/>
        </w:rPr>
      </w:pPr>
      <w:r>
        <w:rPr>
          <w:rFonts w:hint="eastAsia" w:ascii="宋体" w:hAnsi="宋体" w:cs="宋体"/>
          <w:color w:val="000000"/>
          <w:sz w:val="24"/>
        </w:rPr>
        <w:t>（3）其他有利于用户的服务承诺。</w:t>
      </w:r>
    </w:p>
    <w:bookmarkEnd w:id="61"/>
    <w:p>
      <w:pPr>
        <w:pStyle w:val="6"/>
        <w:tabs>
          <w:tab w:val="left" w:pos="3480"/>
        </w:tabs>
        <w:spacing w:line="400" w:lineRule="exact"/>
        <w:ind w:firstLine="482" w:firstLineChars="200"/>
        <w:rPr>
          <w:rFonts w:ascii="宋体" w:hAnsi="宋体" w:cs="宋体"/>
          <w:sz w:val="24"/>
        </w:rPr>
      </w:pPr>
      <w:bookmarkStart w:id="97" w:name="_Toc217446049"/>
      <w:bookmarkStart w:id="98" w:name="_Toc183582218"/>
      <w:bookmarkStart w:id="99" w:name="_Toc183682355"/>
      <w:bookmarkStart w:id="100" w:name="PO_默认文件内容_20"/>
      <w:r>
        <w:rPr>
          <w:rFonts w:hint="eastAsia" w:ascii="宋体" w:hAnsi="宋体" w:cs="宋体"/>
          <w:sz w:val="24"/>
        </w:rPr>
        <w:t>14．投标文件格式</w:t>
      </w:r>
      <w:bookmarkEnd w:id="97"/>
      <w:bookmarkEnd w:id="98"/>
      <w:bookmarkEnd w:id="99"/>
      <w:r>
        <w:rPr>
          <w:rFonts w:hint="eastAsia" w:ascii="宋体" w:hAnsi="宋体" w:cs="宋体"/>
          <w:sz w:val="24"/>
        </w:rPr>
        <w:tab/>
      </w:r>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14.1 投标人应严格按照招标文件第三章中提供的“投标文件格式”填写相关内容。除明确允许投标人可以自行编写的外，投标人不得以“投标文件格式”规定之外的方式填写相关内容。</w:t>
      </w:r>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14.2 对于没有格式要求的投标文件由投标人自行编写。</w:t>
      </w:r>
    </w:p>
    <w:p>
      <w:pPr>
        <w:pStyle w:val="6"/>
        <w:spacing w:line="400" w:lineRule="exact"/>
        <w:ind w:firstLine="482" w:firstLineChars="200"/>
        <w:rPr>
          <w:rFonts w:ascii="宋体" w:hAnsi="宋体" w:cs="宋体"/>
          <w:bCs/>
          <w:sz w:val="24"/>
        </w:rPr>
      </w:pPr>
      <w:bookmarkStart w:id="101" w:name="_Toc217446050"/>
      <w:bookmarkStart w:id="102" w:name="_Toc183582223"/>
      <w:bookmarkStart w:id="103" w:name="_Toc183682360"/>
      <w:r>
        <w:rPr>
          <w:rFonts w:hint="eastAsia" w:ascii="宋体" w:hAnsi="宋体" w:cs="宋体"/>
          <w:bCs/>
          <w:sz w:val="24"/>
        </w:rPr>
        <w:t>15．投标保证金</w:t>
      </w:r>
      <w:bookmarkEnd w:id="101"/>
      <w:bookmarkEnd w:id="102"/>
      <w:bookmarkEnd w:id="103"/>
    </w:p>
    <w:p>
      <w:pPr>
        <w:spacing w:line="400" w:lineRule="exact"/>
        <w:ind w:left="501" w:leftChars="225" w:hanging="28" w:hangingChars="12"/>
        <w:rPr>
          <w:rFonts w:ascii="宋体" w:hAnsi="宋体" w:cs="宋体"/>
          <w:sz w:val="24"/>
        </w:rPr>
      </w:pPr>
      <w:r>
        <w:rPr>
          <w:rFonts w:hint="eastAsia" w:ascii="宋体" w:hAnsi="宋体" w:cs="宋体"/>
          <w:sz w:val="24"/>
        </w:rPr>
        <w:t>本次招标不设立投标保证金。</w:t>
      </w:r>
    </w:p>
    <w:p>
      <w:pPr>
        <w:pStyle w:val="6"/>
        <w:spacing w:line="400" w:lineRule="exact"/>
        <w:ind w:firstLine="482" w:firstLineChars="200"/>
        <w:rPr>
          <w:rFonts w:ascii="宋体" w:hAnsi="宋体" w:cs="宋体"/>
          <w:bCs/>
          <w:sz w:val="24"/>
        </w:rPr>
      </w:pPr>
      <w:bookmarkStart w:id="104" w:name="_Toc183582224"/>
      <w:bookmarkStart w:id="105" w:name="_Toc217446051"/>
      <w:bookmarkStart w:id="106" w:name="_Toc183682361"/>
      <w:r>
        <w:rPr>
          <w:rFonts w:hint="eastAsia" w:ascii="宋体" w:hAnsi="宋体" w:cs="宋体"/>
          <w:bCs/>
          <w:sz w:val="24"/>
        </w:rPr>
        <w:t>16．投标有效期</w:t>
      </w:r>
      <w:bookmarkEnd w:id="104"/>
      <w:bookmarkEnd w:id="105"/>
      <w:bookmarkEnd w:id="106"/>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16.1 投标有效期见投标人须知前附表。投标有效期短于此规定期限的投标，将被拒绝。</w:t>
      </w:r>
    </w:p>
    <w:p>
      <w:pPr>
        <w:tabs>
          <w:tab w:val="left" w:pos="7665"/>
        </w:tabs>
        <w:spacing w:line="400" w:lineRule="exact"/>
        <w:ind w:left="13" w:leftChars="6" w:firstLine="360" w:firstLineChars="150"/>
        <w:rPr>
          <w:rFonts w:ascii="宋体" w:hAnsi="宋体" w:cs="宋体"/>
          <w:sz w:val="24"/>
        </w:rPr>
      </w:pPr>
      <w:r>
        <w:rPr>
          <w:rFonts w:hint="eastAsia" w:ascii="宋体" w:hAnsi="宋体" w:cs="宋体"/>
          <w:sz w:val="24"/>
        </w:rPr>
        <w:t xml:space="preserve"> 16.2 特殊情况下，招标人可于投标有效期满之前要求投标人同意延长有效期，要求与答复均应为书面形式。投标人可以拒绝上述要求，拒绝延长投标有效期的投标人不得再参与该项目后续采购活动。同意延长投标有效期的投标人不能修改其投标文件。</w:t>
      </w:r>
    </w:p>
    <w:p>
      <w:pPr>
        <w:pStyle w:val="6"/>
        <w:spacing w:line="400" w:lineRule="exact"/>
        <w:ind w:firstLine="482" w:firstLineChars="200"/>
        <w:rPr>
          <w:rFonts w:ascii="宋体" w:hAnsi="宋体" w:cs="宋体"/>
          <w:bCs/>
          <w:sz w:val="24"/>
        </w:rPr>
      </w:pPr>
      <w:bookmarkStart w:id="107" w:name="_Toc183582225"/>
      <w:bookmarkStart w:id="108" w:name="_Toc183682362"/>
      <w:bookmarkStart w:id="109" w:name="_Toc217446052"/>
      <w:r>
        <w:rPr>
          <w:rFonts w:hint="eastAsia" w:ascii="宋体" w:hAnsi="宋体" w:cs="宋体"/>
          <w:bCs/>
          <w:sz w:val="24"/>
        </w:rPr>
        <w:t>17．投标文件的印制和签署</w:t>
      </w:r>
      <w:bookmarkEnd w:id="107"/>
      <w:bookmarkEnd w:id="108"/>
      <w:bookmarkEnd w:id="109"/>
    </w:p>
    <w:p>
      <w:pPr>
        <w:tabs>
          <w:tab w:val="left" w:pos="1080"/>
        </w:tabs>
        <w:spacing w:line="400" w:lineRule="exact"/>
        <w:ind w:firstLine="460" w:firstLineChars="192"/>
        <w:rPr>
          <w:rFonts w:ascii="宋体" w:hAnsi="宋体" w:cs="宋体"/>
          <w:sz w:val="24"/>
        </w:rPr>
      </w:pPr>
      <w:r>
        <w:rPr>
          <w:rFonts w:hint="eastAsia" w:ascii="宋体" w:hAnsi="宋体" w:cs="宋体"/>
          <w:sz w:val="24"/>
        </w:rPr>
        <w:t>17.1 投标人应按“投标须知前附表”准备投标文件正本、副本和相应的电子文档。投标文件的正本和副本应在其封面右上角清楚地标明“正本”或“副本”字样。若正本和副本有不一致的内容，以正本书面投标文件为准。</w:t>
      </w:r>
    </w:p>
    <w:p>
      <w:pPr>
        <w:tabs>
          <w:tab w:val="left" w:pos="1095"/>
        </w:tabs>
        <w:spacing w:line="400" w:lineRule="exact"/>
        <w:ind w:firstLine="460" w:firstLineChars="192"/>
        <w:rPr>
          <w:rFonts w:ascii="宋体" w:hAnsi="宋体" w:cs="宋体"/>
          <w:sz w:val="24"/>
        </w:rPr>
      </w:pPr>
      <w:r>
        <w:rPr>
          <w:rFonts w:hint="eastAsia" w:ascii="宋体" w:hAnsi="宋体" w:cs="宋体"/>
          <w:sz w:val="24"/>
        </w:rPr>
        <w:t>17.2 投标文件的正本和副本均需打印或用不褪色、不变质的墨水书写，并由投标人的法定代表人或其授权代表在规定签章处签字和盖章。投标文件副本可采用正本的复印件，电子文档采用光盘或U盘制作。用于开标唱标单独提交的“开标一览表”（一式一份）应为原件。</w:t>
      </w:r>
    </w:p>
    <w:p>
      <w:pPr>
        <w:tabs>
          <w:tab w:val="left" w:pos="1095"/>
        </w:tabs>
        <w:spacing w:line="400" w:lineRule="exact"/>
        <w:ind w:firstLine="460" w:firstLineChars="192"/>
        <w:rPr>
          <w:rFonts w:ascii="宋体" w:hAnsi="宋体" w:cs="宋体"/>
          <w:sz w:val="24"/>
        </w:rPr>
      </w:pPr>
      <w:r>
        <w:rPr>
          <w:rFonts w:hint="eastAsia" w:ascii="宋体" w:hAnsi="宋体" w:cs="宋体"/>
          <w:sz w:val="24"/>
        </w:rPr>
        <w:t>17.3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400" w:lineRule="exact"/>
        <w:ind w:firstLine="460" w:firstLineChars="192"/>
        <w:rPr>
          <w:rFonts w:ascii="宋体" w:hAnsi="宋体" w:cs="宋体"/>
          <w:sz w:val="24"/>
        </w:rPr>
      </w:pPr>
      <w:r>
        <w:rPr>
          <w:rFonts w:hint="eastAsia" w:ascii="宋体" w:hAnsi="宋体" w:cs="宋体"/>
          <w:sz w:val="24"/>
        </w:rPr>
        <w:t>17.4 投标文件正本和副本必须装订成册并编码。</w:t>
      </w:r>
    </w:p>
    <w:p>
      <w:pPr>
        <w:tabs>
          <w:tab w:val="left" w:pos="1080"/>
        </w:tabs>
        <w:spacing w:line="400" w:lineRule="exact"/>
        <w:ind w:firstLine="460" w:firstLineChars="192"/>
        <w:rPr>
          <w:rFonts w:ascii="宋体" w:hAnsi="宋体" w:cs="宋体"/>
          <w:sz w:val="24"/>
        </w:rPr>
      </w:pPr>
      <w:r>
        <w:rPr>
          <w:rFonts w:hint="eastAsia" w:ascii="宋体" w:hAnsi="宋体" w:cs="宋体"/>
          <w:sz w:val="24"/>
        </w:rPr>
        <w:t>17.5 投标文件应根据招标文件的要求制作，签署、盖章和内容应完整。</w:t>
      </w:r>
    </w:p>
    <w:p>
      <w:pPr>
        <w:tabs>
          <w:tab w:val="left" w:pos="1080"/>
        </w:tabs>
        <w:spacing w:line="400" w:lineRule="exact"/>
        <w:ind w:firstLine="460" w:firstLineChars="192"/>
        <w:rPr>
          <w:rFonts w:ascii="宋体" w:hAnsi="宋体" w:cs="宋体"/>
          <w:sz w:val="24"/>
        </w:rPr>
      </w:pPr>
      <w:r>
        <w:rPr>
          <w:rFonts w:hint="eastAsia" w:ascii="宋体" w:hAnsi="宋体" w:cs="宋体"/>
          <w:sz w:val="24"/>
        </w:rPr>
        <w:t>17.6 投标文件统一用A4幅面纸印制。</w:t>
      </w:r>
    </w:p>
    <w:p>
      <w:pPr>
        <w:pStyle w:val="6"/>
        <w:spacing w:line="400" w:lineRule="exact"/>
        <w:ind w:firstLine="482" w:firstLineChars="200"/>
        <w:rPr>
          <w:rFonts w:ascii="宋体" w:hAnsi="宋体" w:cs="宋体"/>
          <w:sz w:val="24"/>
        </w:rPr>
      </w:pPr>
      <w:bookmarkStart w:id="110" w:name="_Toc183682363"/>
      <w:bookmarkStart w:id="111" w:name="_Toc183582226"/>
      <w:bookmarkStart w:id="112" w:name="_Toc77400781"/>
      <w:bookmarkStart w:id="113" w:name="_Toc89075877"/>
      <w:bookmarkStart w:id="114" w:name="_Toc217446053"/>
      <w:r>
        <w:rPr>
          <w:rFonts w:hint="eastAsia" w:ascii="宋体" w:hAnsi="宋体" w:cs="宋体"/>
          <w:bCs/>
          <w:sz w:val="24"/>
        </w:rPr>
        <w:t xml:space="preserve">18. </w:t>
      </w:r>
      <w:r>
        <w:rPr>
          <w:rFonts w:hint="eastAsia" w:ascii="宋体" w:hAnsi="宋体" w:cs="宋体"/>
          <w:sz w:val="24"/>
        </w:rPr>
        <w:t>投标文件的密封和标</w:t>
      </w:r>
      <w:bookmarkEnd w:id="110"/>
      <w:bookmarkEnd w:id="111"/>
      <w:bookmarkEnd w:id="112"/>
      <w:bookmarkEnd w:id="113"/>
      <w:r>
        <w:rPr>
          <w:rFonts w:hint="eastAsia" w:ascii="宋体" w:hAnsi="宋体" w:cs="宋体"/>
          <w:sz w:val="24"/>
        </w:rPr>
        <w:t>注</w:t>
      </w:r>
      <w:bookmarkEnd w:id="114"/>
    </w:p>
    <w:p>
      <w:pPr>
        <w:tabs>
          <w:tab w:val="left" w:pos="1080"/>
        </w:tabs>
        <w:spacing w:line="400" w:lineRule="exact"/>
        <w:ind w:firstLine="480" w:firstLineChars="200"/>
        <w:rPr>
          <w:rFonts w:ascii="宋体" w:hAnsi="宋体" w:cs="宋体"/>
          <w:sz w:val="24"/>
        </w:rPr>
      </w:pPr>
      <w:r>
        <w:rPr>
          <w:rFonts w:hint="eastAsia" w:ascii="宋体" w:hAnsi="宋体" w:cs="宋体"/>
          <w:sz w:val="24"/>
        </w:rPr>
        <w:t>18.1 投标人应在投标文件正本和所有副本的封面上注明投标人名称、招标编号、项目名称及分包号（如有分包）。</w:t>
      </w:r>
    </w:p>
    <w:p>
      <w:pPr>
        <w:tabs>
          <w:tab w:val="left" w:pos="1080"/>
        </w:tabs>
        <w:spacing w:line="400" w:lineRule="exact"/>
        <w:ind w:firstLine="460" w:firstLineChars="192"/>
        <w:rPr>
          <w:rFonts w:ascii="宋体" w:hAnsi="宋体" w:cs="宋体"/>
          <w:sz w:val="24"/>
        </w:rPr>
      </w:pPr>
      <w:r>
        <w:rPr>
          <w:rFonts w:hint="eastAsia" w:ascii="宋体" w:hAnsi="宋体" w:cs="宋体"/>
          <w:sz w:val="24"/>
        </w:rPr>
        <w:t>18.2 投标文件正本、所有副本和招标文件要求单独提交的“开标一览表”（一式一份）、电子文档，应分别封装于不同的密封袋内，密封袋上应分别标上“正本”、“副本”、“开标一览表”字样，并注明投标人名称、招标编号、项目名称及分包号（如有分包）。</w:t>
      </w:r>
    </w:p>
    <w:p>
      <w:pPr>
        <w:tabs>
          <w:tab w:val="left" w:pos="1080"/>
        </w:tabs>
        <w:spacing w:line="400" w:lineRule="exact"/>
        <w:ind w:firstLine="460" w:firstLineChars="192"/>
        <w:rPr>
          <w:rFonts w:ascii="宋体" w:hAnsi="宋体" w:cs="宋体"/>
          <w:sz w:val="24"/>
        </w:rPr>
      </w:pPr>
      <w:r>
        <w:rPr>
          <w:rFonts w:hint="eastAsia" w:ascii="宋体" w:hAnsi="宋体" w:cs="宋体"/>
          <w:sz w:val="24"/>
        </w:rPr>
        <w:t>18.3 所有外层密封袋的封口处应粘贴牢固，并加盖密封章（投标人印章）。</w:t>
      </w:r>
    </w:p>
    <w:p>
      <w:pPr>
        <w:tabs>
          <w:tab w:val="left" w:pos="1080"/>
        </w:tabs>
        <w:spacing w:line="400" w:lineRule="exact"/>
        <w:rPr>
          <w:rFonts w:ascii="宋体" w:hAnsi="宋体" w:cs="宋体"/>
          <w:sz w:val="24"/>
        </w:rPr>
      </w:pPr>
    </w:p>
    <w:p>
      <w:pPr>
        <w:pStyle w:val="6"/>
        <w:spacing w:line="400" w:lineRule="exact"/>
        <w:ind w:firstLine="482" w:firstLineChars="200"/>
        <w:rPr>
          <w:rFonts w:ascii="宋体" w:hAnsi="宋体" w:cs="宋体"/>
          <w:bCs/>
          <w:sz w:val="24"/>
        </w:rPr>
      </w:pPr>
      <w:bookmarkStart w:id="115" w:name="_Toc183682364"/>
      <w:bookmarkStart w:id="116" w:name="_Toc183582227"/>
      <w:bookmarkStart w:id="117" w:name="_Toc217446054"/>
      <w:r>
        <w:rPr>
          <w:rFonts w:hint="eastAsia" w:ascii="宋体" w:hAnsi="宋体" w:cs="宋体"/>
          <w:bCs/>
          <w:sz w:val="24"/>
        </w:rPr>
        <w:t>19</w:t>
      </w:r>
      <w:r>
        <w:rPr>
          <w:rFonts w:hint="eastAsia" w:ascii="宋体" w:hAnsi="宋体" w:cs="宋体"/>
          <w:bCs/>
          <w:sz w:val="28"/>
          <w:szCs w:val="28"/>
        </w:rPr>
        <w:t>．</w:t>
      </w:r>
      <w:r>
        <w:rPr>
          <w:rFonts w:hint="eastAsia" w:ascii="宋体" w:hAnsi="宋体" w:cs="宋体"/>
          <w:bCs/>
          <w:sz w:val="24"/>
        </w:rPr>
        <w:t>投标文件的</w:t>
      </w:r>
      <w:bookmarkEnd w:id="115"/>
      <w:bookmarkEnd w:id="116"/>
      <w:r>
        <w:rPr>
          <w:rFonts w:hint="eastAsia" w:ascii="宋体" w:hAnsi="宋体" w:cs="宋体"/>
          <w:bCs/>
          <w:sz w:val="24"/>
        </w:rPr>
        <w:t>递交</w:t>
      </w:r>
      <w:bookmarkEnd w:id="117"/>
    </w:p>
    <w:p>
      <w:pPr>
        <w:tabs>
          <w:tab w:val="left" w:pos="1095"/>
        </w:tabs>
        <w:spacing w:line="400" w:lineRule="exact"/>
        <w:ind w:firstLine="460" w:firstLineChars="192"/>
        <w:rPr>
          <w:rFonts w:ascii="宋体" w:hAnsi="宋体" w:cs="宋体"/>
          <w:sz w:val="24"/>
        </w:rPr>
      </w:pPr>
      <w:r>
        <w:rPr>
          <w:rFonts w:hint="eastAsia" w:ascii="宋体" w:hAnsi="宋体" w:cs="宋体"/>
          <w:sz w:val="24"/>
        </w:rPr>
        <w:t>19.1 投标人应在招标文件规定的投标截止时间前，将投标文件按投标须知规定密封后送达开标地点。投标截止时间以后送达的投标文件将被拒绝。</w:t>
      </w:r>
    </w:p>
    <w:p>
      <w:pPr>
        <w:pStyle w:val="7"/>
        <w:spacing w:line="400" w:lineRule="exact"/>
        <w:ind w:firstLine="480"/>
        <w:rPr>
          <w:rFonts w:ascii="宋体" w:hAnsi="宋体" w:cs="宋体"/>
          <w:sz w:val="24"/>
        </w:rPr>
      </w:pPr>
      <w:r>
        <w:rPr>
          <w:rFonts w:hint="eastAsia" w:ascii="宋体" w:hAnsi="宋体" w:cs="宋体"/>
          <w:sz w:val="24"/>
        </w:rPr>
        <w:t>19.2 本次招标接受邮寄的投标文件。</w:t>
      </w:r>
    </w:p>
    <w:p>
      <w:pPr>
        <w:pStyle w:val="6"/>
        <w:spacing w:line="400" w:lineRule="exact"/>
        <w:ind w:firstLine="482" w:firstLineChars="200"/>
        <w:rPr>
          <w:rFonts w:ascii="宋体" w:hAnsi="宋体" w:cs="宋体"/>
          <w:bCs/>
          <w:spacing w:val="20"/>
          <w:sz w:val="24"/>
        </w:rPr>
      </w:pPr>
      <w:bookmarkStart w:id="118" w:name="_Toc183682365"/>
      <w:bookmarkStart w:id="119" w:name="_Toc183582228"/>
      <w:bookmarkStart w:id="120" w:name="_Toc217446055"/>
      <w:r>
        <w:rPr>
          <w:rFonts w:hint="eastAsia" w:ascii="宋体" w:hAnsi="宋体" w:cs="宋体"/>
          <w:bCs/>
          <w:sz w:val="24"/>
        </w:rPr>
        <w:t>20．</w:t>
      </w:r>
      <w:r>
        <w:rPr>
          <w:rFonts w:hint="eastAsia" w:ascii="宋体" w:hAnsi="宋体" w:cs="宋体"/>
          <w:bCs/>
          <w:spacing w:val="20"/>
          <w:sz w:val="24"/>
        </w:rPr>
        <w:t>投标文件的修改和撤</w:t>
      </w:r>
      <w:bookmarkEnd w:id="118"/>
      <w:bookmarkEnd w:id="119"/>
      <w:r>
        <w:rPr>
          <w:rFonts w:hint="eastAsia" w:ascii="宋体" w:hAnsi="宋体" w:cs="宋体"/>
          <w:bCs/>
          <w:spacing w:val="20"/>
          <w:sz w:val="24"/>
        </w:rPr>
        <w:t>回</w:t>
      </w:r>
      <w:bookmarkEnd w:id="120"/>
    </w:p>
    <w:p>
      <w:pPr>
        <w:spacing w:line="400" w:lineRule="exact"/>
        <w:ind w:firstLine="470" w:firstLineChars="196"/>
        <w:rPr>
          <w:rFonts w:ascii="宋体" w:hAnsi="宋体" w:cs="宋体"/>
          <w:sz w:val="24"/>
        </w:rPr>
      </w:pPr>
      <w:r>
        <w:rPr>
          <w:rFonts w:hint="eastAsia" w:ascii="宋体" w:hAnsi="宋体" w:cs="宋体"/>
          <w:sz w:val="24"/>
        </w:rPr>
        <w:t>20.1 投标人在递交了投标文件后，可以修改或撤回其投标文件，但必须在规定的投标截止时间前，以书面形式通知招标人。</w:t>
      </w:r>
    </w:p>
    <w:p>
      <w:pPr>
        <w:spacing w:line="400" w:lineRule="exact"/>
        <w:ind w:firstLine="470" w:firstLineChars="196"/>
        <w:rPr>
          <w:rFonts w:ascii="宋体" w:hAnsi="宋体" w:cs="宋体"/>
          <w:sz w:val="24"/>
        </w:rPr>
      </w:pPr>
      <w:r>
        <w:rPr>
          <w:rFonts w:hint="eastAsia" w:ascii="宋体" w:hAnsi="宋体" w:cs="宋体"/>
          <w:sz w:val="24"/>
        </w:rPr>
        <w:t>20.2 投标人的修改书或撤回通知书，应由其法定代表人或授权代表签署并盖单位印章。修改书应按投标须知规定进行密封和标注，并在密封袋上标注“修改”字样。</w:t>
      </w:r>
    </w:p>
    <w:p>
      <w:pPr>
        <w:spacing w:line="400" w:lineRule="exact"/>
        <w:ind w:firstLine="470" w:firstLineChars="196"/>
        <w:rPr>
          <w:rFonts w:ascii="宋体" w:hAnsi="宋体" w:cs="宋体"/>
          <w:sz w:val="24"/>
        </w:rPr>
      </w:pPr>
      <w:r>
        <w:rPr>
          <w:rFonts w:hint="eastAsia" w:ascii="宋体" w:hAnsi="宋体" w:cs="宋体"/>
          <w:sz w:val="24"/>
        </w:rPr>
        <w:t>20.3 在投标截止时间之后，投标人不得对其递交的投标文件做任何修改或撤回投标。</w:t>
      </w:r>
    </w:p>
    <w:p>
      <w:pPr>
        <w:pStyle w:val="5"/>
        <w:spacing w:line="400" w:lineRule="exact"/>
        <w:jc w:val="center"/>
        <w:rPr>
          <w:rFonts w:ascii="宋体" w:hAnsi="宋体" w:eastAsia="宋体" w:cs="宋体"/>
        </w:rPr>
      </w:pPr>
      <w:bookmarkStart w:id="121" w:name="_Toc183682368"/>
      <w:bookmarkStart w:id="122" w:name="_Toc89075878"/>
      <w:bookmarkStart w:id="123" w:name="_Toc77400782"/>
      <w:bookmarkStart w:id="124" w:name="_Toc183582231"/>
      <w:bookmarkStart w:id="125" w:name="_Toc217446056"/>
      <w:r>
        <w:rPr>
          <w:rFonts w:hint="eastAsia" w:ascii="宋体" w:hAnsi="宋体" w:eastAsia="宋体" w:cs="宋体"/>
        </w:rPr>
        <w:t>四、开标和评标</w:t>
      </w:r>
      <w:bookmarkEnd w:id="121"/>
      <w:bookmarkEnd w:id="122"/>
      <w:bookmarkEnd w:id="123"/>
      <w:bookmarkEnd w:id="124"/>
      <w:bookmarkEnd w:id="125"/>
    </w:p>
    <w:p>
      <w:pPr>
        <w:pStyle w:val="6"/>
        <w:spacing w:line="400" w:lineRule="exact"/>
        <w:ind w:firstLine="482" w:firstLineChars="200"/>
        <w:rPr>
          <w:rFonts w:ascii="宋体" w:hAnsi="宋体" w:cs="宋体"/>
          <w:bCs/>
          <w:sz w:val="24"/>
        </w:rPr>
      </w:pPr>
      <w:bookmarkStart w:id="126" w:name="_Toc217446057"/>
      <w:bookmarkStart w:id="127" w:name="_Toc183582232"/>
      <w:bookmarkStart w:id="128" w:name="_Toc183682369"/>
      <w:r>
        <w:rPr>
          <w:rFonts w:hint="eastAsia" w:ascii="宋体" w:hAnsi="宋体" w:cs="宋体"/>
          <w:bCs/>
          <w:sz w:val="24"/>
        </w:rPr>
        <w:t>21．开标</w:t>
      </w:r>
      <w:bookmarkEnd w:id="126"/>
      <w:bookmarkEnd w:id="127"/>
      <w:bookmarkEnd w:id="128"/>
    </w:p>
    <w:p>
      <w:pPr>
        <w:spacing w:before="120" w:line="400" w:lineRule="exact"/>
        <w:ind w:firstLine="480" w:firstLineChars="200"/>
        <w:rPr>
          <w:rFonts w:ascii="宋体" w:hAnsi="宋体" w:cs="宋体"/>
          <w:b/>
          <w:bCs/>
          <w:sz w:val="24"/>
        </w:rPr>
      </w:pPr>
      <w:r>
        <w:rPr>
          <w:rFonts w:hint="eastAsia" w:ascii="宋体" w:hAnsi="宋体" w:cs="宋体"/>
          <w:sz w:val="24"/>
        </w:rPr>
        <w:t>21.1 招标人在招标文件规定的时间和地点组织开标，招标人、投标人须派代表参加并签到以证明其出席。</w:t>
      </w:r>
    </w:p>
    <w:p>
      <w:pPr>
        <w:spacing w:line="400" w:lineRule="exact"/>
        <w:ind w:firstLine="480" w:firstLineChars="200"/>
        <w:rPr>
          <w:rFonts w:ascii="宋体" w:hAnsi="宋体" w:cs="宋体"/>
          <w:sz w:val="24"/>
        </w:rPr>
      </w:pPr>
      <w:r>
        <w:rPr>
          <w:rFonts w:hint="eastAsia" w:ascii="宋体" w:hAnsi="宋体" w:cs="宋体"/>
          <w:sz w:val="24"/>
        </w:rPr>
        <w:t>21.2 开标时，招标人可以申请公证机构对投标文件的密封情况进行检查并公证。经确认无误后，由招标工作人员或公证人员将投标人单独递交的“开标一览表”当众拆封，并由唱标人员按照招标文件规定的内容进行宣读。</w:t>
      </w:r>
    </w:p>
    <w:p>
      <w:pPr>
        <w:spacing w:line="400" w:lineRule="exact"/>
        <w:ind w:firstLine="480" w:firstLineChars="200"/>
        <w:rPr>
          <w:rFonts w:ascii="宋体" w:hAnsi="宋体" w:cs="宋体"/>
          <w:sz w:val="24"/>
        </w:rPr>
      </w:pPr>
      <w:r>
        <w:rPr>
          <w:rFonts w:hint="eastAsia" w:ascii="宋体" w:hAnsi="宋体" w:cs="宋体"/>
          <w:sz w:val="24"/>
        </w:rPr>
        <w:t>21.3 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12"/>
        <w:spacing w:line="400" w:lineRule="exact"/>
        <w:ind w:firstLine="480"/>
        <w:rPr>
          <w:rFonts w:ascii="宋体" w:hAnsi="宋体" w:eastAsia="宋体" w:cs="宋体"/>
          <w:sz w:val="24"/>
          <w:szCs w:val="24"/>
        </w:rPr>
      </w:pPr>
      <w:r>
        <w:rPr>
          <w:rFonts w:hint="eastAsia" w:ascii="宋体" w:hAnsi="宋体" w:eastAsia="宋体" w:cs="宋体"/>
          <w:sz w:val="24"/>
          <w:szCs w:val="24"/>
        </w:rPr>
        <w:t>21.4 投标文件中有关明细表内容与“开标一览表”不一致的，以“开标一览表”为准。对不同文字文本投标文件的解释发生异议的，以中文文本为准。</w:t>
      </w:r>
    </w:p>
    <w:p>
      <w:pPr>
        <w:spacing w:line="400" w:lineRule="exact"/>
        <w:ind w:firstLine="480" w:firstLineChars="200"/>
        <w:rPr>
          <w:rFonts w:ascii="宋体" w:hAnsi="宋体" w:cs="宋体"/>
          <w:sz w:val="24"/>
        </w:rPr>
      </w:pPr>
      <w:r>
        <w:rPr>
          <w:rFonts w:hint="eastAsia" w:ascii="宋体" w:hAnsi="宋体" w:cs="宋体"/>
          <w:sz w:val="24"/>
        </w:rPr>
        <w:t>21.5 所有投标唱标完毕，如投标人代表对宣读的“开标一览表”上的内容有异议的，应在获得开标会主持人同意后当场提出。如确实属于唱标人员宣读错了的，经现场监督人员和公证人员核实后，当场予以更正。</w:t>
      </w:r>
    </w:p>
    <w:p>
      <w:pPr>
        <w:pStyle w:val="6"/>
        <w:spacing w:line="400" w:lineRule="exact"/>
        <w:ind w:firstLine="482" w:firstLineChars="200"/>
        <w:rPr>
          <w:rFonts w:ascii="宋体" w:hAnsi="宋体" w:cs="宋体"/>
          <w:sz w:val="24"/>
        </w:rPr>
      </w:pPr>
      <w:bookmarkStart w:id="129" w:name="_Toc217446058"/>
      <w:r>
        <w:rPr>
          <w:rFonts w:hint="eastAsia" w:ascii="宋体" w:hAnsi="宋体" w:cs="宋体"/>
          <w:sz w:val="24"/>
        </w:rPr>
        <w:t>22. 开标程序</w:t>
      </w:r>
      <w:bookmarkEnd w:id="129"/>
    </w:p>
    <w:p>
      <w:pPr>
        <w:pStyle w:val="12"/>
        <w:spacing w:line="400" w:lineRule="exact"/>
        <w:ind w:firstLine="480"/>
        <w:rPr>
          <w:rFonts w:ascii="宋体" w:hAnsi="宋体" w:eastAsia="宋体" w:cs="宋体"/>
          <w:sz w:val="24"/>
          <w:szCs w:val="24"/>
        </w:rPr>
      </w:pPr>
      <w:r>
        <w:rPr>
          <w:rFonts w:hint="eastAsia" w:ascii="宋体" w:hAnsi="宋体" w:eastAsia="宋体" w:cs="宋体"/>
          <w:sz w:val="24"/>
          <w:szCs w:val="24"/>
        </w:rPr>
        <w:t>22.1 开标会主持人按照招标文件规定的开标时间宣布开标，按照规定要求主持开标会。开标将按以下程序进行：</w:t>
      </w:r>
    </w:p>
    <w:p>
      <w:pPr>
        <w:spacing w:line="400" w:lineRule="exact"/>
        <w:ind w:firstLine="480" w:firstLineChars="200"/>
        <w:rPr>
          <w:rFonts w:ascii="宋体" w:hAnsi="宋体" w:cs="宋体"/>
          <w:sz w:val="24"/>
        </w:rPr>
      </w:pPr>
      <w:r>
        <w:rPr>
          <w:rFonts w:hint="eastAsia" w:ascii="宋体" w:hAnsi="宋体" w:cs="宋体"/>
          <w:sz w:val="24"/>
        </w:rPr>
        <w:t>（1）宣布开标会开始。开标时间到，主持人宣布开标会开始并致辞，当众宣布参加开标会的现场监督人员、公证人员和主持人、唱标、监标、会议记录等招标工作人员，根据“供应商签到表”宣布参加投标的供应商名单。</w:t>
      </w:r>
    </w:p>
    <w:p>
      <w:pPr>
        <w:spacing w:line="400" w:lineRule="exact"/>
        <w:ind w:firstLine="480" w:firstLineChars="200"/>
        <w:rPr>
          <w:rFonts w:ascii="宋体" w:hAnsi="宋体" w:cs="宋体"/>
          <w:sz w:val="24"/>
        </w:rPr>
      </w:pPr>
      <w:r>
        <w:rPr>
          <w:rFonts w:hint="eastAsia" w:ascii="宋体" w:hAnsi="宋体" w:cs="宋体"/>
          <w:sz w:val="24"/>
        </w:rPr>
        <w:t>（2）宣布会场纪律和有关注意事项。</w:t>
      </w:r>
    </w:p>
    <w:p>
      <w:pPr>
        <w:spacing w:line="400" w:lineRule="exact"/>
        <w:ind w:firstLine="480" w:firstLineChars="200"/>
        <w:rPr>
          <w:rFonts w:ascii="宋体" w:hAnsi="宋体" w:cs="宋体"/>
          <w:sz w:val="24"/>
        </w:rPr>
      </w:pPr>
      <w:r>
        <w:rPr>
          <w:rFonts w:hint="eastAsia" w:ascii="宋体" w:hAnsi="宋体" w:cs="宋体"/>
          <w:sz w:val="24"/>
        </w:rPr>
        <w:t>（3）当众宣布检查投标文件的密封情况。</w:t>
      </w:r>
    </w:p>
    <w:p>
      <w:pPr>
        <w:spacing w:line="400" w:lineRule="exact"/>
        <w:ind w:firstLine="460" w:firstLineChars="192"/>
        <w:rPr>
          <w:rFonts w:ascii="宋体" w:hAnsi="宋体" w:cs="宋体"/>
          <w:sz w:val="24"/>
        </w:rPr>
      </w:pPr>
      <w:r>
        <w:rPr>
          <w:rFonts w:hint="eastAsia" w:ascii="宋体" w:hAnsi="宋体" w:cs="宋体"/>
          <w:sz w:val="24"/>
        </w:rPr>
        <w:t>（4）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核实后，主持人立即请投标人代表现场进行澄清。</w:t>
      </w:r>
    </w:p>
    <w:p>
      <w:pPr>
        <w:spacing w:line="400" w:lineRule="exact"/>
        <w:ind w:firstLine="480" w:firstLineChars="200"/>
        <w:rPr>
          <w:rFonts w:ascii="宋体" w:hAnsi="宋体" w:cs="宋体"/>
          <w:sz w:val="24"/>
        </w:rPr>
      </w:pPr>
      <w:r>
        <w:rPr>
          <w:rFonts w:hint="eastAsia" w:ascii="宋体" w:hAnsi="宋体" w:cs="宋体"/>
          <w:sz w:val="24"/>
        </w:rPr>
        <w:t>（5）宣布开标会结束。主持人宣布开标会结束后，所有投标人代表应立即退场。</w:t>
      </w:r>
    </w:p>
    <w:p>
      <w:pPr>
        <w:pStyle w:val="6"/>
        <w:spacing w:line="400" w:lineRule="exact"/>
        <w:ind w:firstLine="482" w:firstLineChars="200"/>
        <w:rPr>
          <w:rFonts w:ascii="宋体" w:hAnsi="宋体" w:cs="宋体"/>
          <w:sz w:val="24"/>
        </w:rPr>
      </w:pPr>
      <w:bookmarkStart w:id="130" w:name="_Toc217446059"/>
      <w:r>
        <w:rPr>
          <w:rFonts w:hint="eastAsia" w:ascii="宋体" w:hAnsi="宋体" w:cs="宋体"/>
          <w:sz w:val="24"/>
        </w:rPr>
        <w:t>23. 评标</w:t>
      </w:r>
      <w:bookmarkEnd w:id="130"/>
    </w:p>
    <w:p>
      <w:pPr>
        <w:spacing w:line="400" w:lineRule="exact"/>
        <w:ind w:left="117" w:leftChars="50" w:hanging="12" w:hangingChars="5"/>
        <w:rPr>
          <w:rFonts w:ascii="宋体" w:hAnsi="宋体" w:cs="宋体"/>
          <w:sz w:val="24"/>
        </w:rPr>
      </w:pPr>
      <w:r>
        <w:rPr>
          <w:rFonts w:hint="eastAsia" w:ascii="宋体" w:hAnsi="宋体" w:cs="宋体"/>
          <w:sz w:val="24"/>
        </w:rPr>
        <w:t>23.1 评标工作由招标人依法组建的评标委员会（以下简称评委会）负责。</w:t>
      </w:r>
    </w:p>
    <w:p>
      <w:pPr>
        <w:spacing w:line="400" w:lineRule="exact"/>
        <w:ind w:firstLine="480" w:firstLineChars="200"/>
        <w:rPr>
          <w:rFonts w:ascii="宋体" w:hAnsi="宋体" w:cs="宋体"/>
          <w:sz w:val="24"/>
        </w:rPr>
      </w:pPr>
      <w:r>
        <w:rPr>
          <w:rFonts w:hint="eastAsia" w:ascii="宋体" w:hAnsi="宋体" w:cs="宋体"/>
          <w:sz w:val="24"/>
        </w:rPr>
        <w:t>23.2 评标过程严格保密。投标人对评委会的评标过程或合同授予决定施加影响的任何行为都可能导致其投标被拒绝。</w:t>
      </w:r>
    </w:p>
    <w:p>
      <w:pPr>
        <w:spacing w:line="400" w:lineRule="exact"/>
        <w:ind w:firstLine="480" w:firstLineChars="200"/>
        <w:rPr>
          <w:rFonts w:ascii="宋体" w:hAnsi="宋体" w:cs="宋体"/>
          <w:sz w:val="24"/>
        </w:rPr>
      </w:pPr>
      <w:r>
        <w:rPr>
          <w:rFonts w:hint="eastAsia" w:ascii="宋体" w:hAnsi="宋体" w:cs="宋体"/>
          <w:sz w:val="24"/>
        </w:rPr>
        <w:t>23.3 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spacing w:line="400" w:lineRule="exact"/>
        <w:ind w:firstLine="480" w:firstLineChars="200"/>
        <w:rPr>
          <w:rFonts w:ascii="宋体" w:hAnsi="宋体" w:cs="宋体"/>
          <w:sz w:val="24"/>
        </w:rPr>
      </w:pPr>
      <w:r>
        <w:rPr>
          <w:rFonts w:hint="eastAsia" w:ascii="宋体" w:hAnsi="宋体" w:cs="宋体"/>
          <w:sz w:val="24"/>
        </w:rPr>
        <w:t>23.4 评委会认定实质性响应招标文件的投标是投标文件与招标文件要求的全部条款、条件和规格没有实质性负偏离。评委会决定投标文件的响应性依据投标文件本身的内容，而不寻求外部的证据。</w:t>
      </w:r>
    </w:p>
    <w:p>
      <w:pPr>
        <w:spacing w:line="400" w:lineRule="exact"/>
        <w:ind w:firstLine="470" w:firstLineChars="196"/>
        <w:rPr>
          <w:rFonts w:ascii="宋体" w:hAnsi="宋体" w:cs="宋体"/>
          <w:sz w:val="24"/>
        </w:rPr>
      </w:pPr>
      <w:r>
        <w:rPr>
          <w:rFonts w:hint="eastAsia" w:ascii="宋体" w:hAnsi="宋体" w:cs="宋体"/>
          <w:sz w:val="24"/>
        </w:rPr>
        <w:t>23.5投标文件如果没有实质性响应招标文件的要求，评委会将予以拒绝。投标人不得通过修正或撤消不合要求的偏离或保留从而使其投标成为实质性响应的投标。</w:t>
      </w:r>
    </w:p>
    <w:p>
      <w:pPr>
        <w:spacing w:line="400" w:lineRule="exact"/>
        <w:ind w:firstLine="460" w:firstLineChars="192"/>
        <w:rPr>
          <w:rFonts w:ascii="宋体" w:hAnsi="宋体" w:cs="宋体"/>
          <w:sz w:val="24"/>
        </w:rPr>
      </w:pPr>
      <w:r>
        <w:rPr>
          <w:rFonts w:hint="eastAsia" w:ascii="宋体" w:hAnsi="宋体" w:cs="宋体"/>
          <w:sz w:val="24"/>
        </w:rPr>
        <w:t>23.6 评委会只对确定为实质性响应招标文件要求的投标文件，根据招标文件的要求采用相同的评标程序、评分办法及标准进行评价和比较。</w:t>
      </w:r>
    </w:p>
    <w:p>
      <w:pPr>
        <w:spacing w:line="400" w:lineRule="exact"/>
        <w:ind w:firstLine="480" w:firstLineChars="200"/>
        <w:rPr>
          <w:rFonts w:ascii="宋体" w:hAnsi="宋体" w:cs="宋体"/>
          <w:sz w:val="24"/>
        </w:rPr>
      </w:pPr>
      <w:r>
        <w:rPr>
          <w:rFonts w:hint="eastAsia" w:ascii="宋体" w:hAnsi="宋体" w:cs="宋体"/>
          <w:sz w:val="24"/>
        </w:rPr>
        <w:t>23.7 投标文件属于下列情况的，在资格性、符合性检查时按照无效投标处理：</w:t>
      </w:r>
    </w:p>
    <w:p>
      <w:pPr>
        <w:spacing w:line="400" w:lineRule="exact"/>
        <w:ind w:firstLine="480" w:firstLineChars="200"/>
        <w:rPr>
          <w:rFonts w:ascii="宋体" w:hAnsi="宋体" w:cs="宋体"/>
          <w:sz w:val="24"/>
        </w:rPr>
      </w:pPr>
      <w:r>
        <w:rPr>
          <w:rFonts w:hint="eastAsia" w:ascii="宋体" w:hAnsi="宋体" w:cs="宋体"/>
          <w:sz w:val="24"/>
        </w:rPr>
        <w:t>（1）未按照招标文件规定和要求签署、盖章的;</w:t>
      </w:r>
    </w:p>
    <w:p>
      <w:pPr>
        <w:spacing w:line="400" w:lineRule="exact"/>
        <w:ind w:firstLine="480" w:firstLineChars="200"/>
        <w:rPr>
          <w:rFonts w:ascii="宋体" w:hAnsi="宋体" w:cs="宋体"/>
          <w:sz w:val="24"/>
        </w:rPr>
      </w:pPr>
      <w:r>
        <w:rPr>
          <w:rFonts w:hint="eastAsia" w:ascii="宋体" w:hAnsi="宋体" w:cs="宋体"/>
          <w:sz w:val="24"/>
        </w:rPr>
        <w:t>（2）不具备招标文件中规定的资格条件和要求的;</w:t>
      </w:r>
    </w:p>
    <w:p>
      <w:pPr>
        <w:spacing w:line="400" w:lineRule="exact"/>
        <w:ind w:firstLine="480" w:firstLineChars="200"/>
        <w:rPr>
          <w:rFonts w:ascii="宋体" w:hAnsi="宋体" w:cs="宋体"/>
          <w:sz w:val="24"/>
        </w:rPr>
      </w:pPr>
      <w:r>
        <w:rPr>
          <w:rFonts w:hint="eastAsia" w:ascii="宋体" w:hAnsi="宋体" w:cs="宋体"/>
          <w:sz w:val="24"/>
        </w:rPr>
        <w:t>（</w:t>
      </w:r>
      <w:bookmarkStart w:id="131" w:name="_Toc183682370"/>
      <w:bookmarkStart w:id="132" w:name="_Toc183582233"/>
      <w:r>
        <w:rPr>
          <w:rFonts w:hint="eastAsia" w:ascii="宋体" w:hAnsi="宋体" w:cs="宋体"/>
          <w:sz w:val="24"/>
        </w:rPr>
        <w:t>3）招标文件规定的其他无效投标情形；</w:t>
      </w:r>
    </w:p>
    <w:p>
      <w:pPr>
        <w:spacing w:line="400" w:lineRule="exact"/>
        <w:ind w:firstLine="480" w:firstLineChars="200"/>
        <w:rPr>
          <w:rFonts w:ascii="宋体" w:hAnsi="宋体" w:cs="宋体"/>
          <w:sz w:val="24"/>
        </w:rPr>
      </w:pPr>
      <w:r>
        <w:rPr>
          <w:rFonts w:hint="eastAsia" w:ascii="宋体" w:hAnsi="宋体" w:cs="宋体"/>
          <w:sz w:val="24"/>
        </w:rPr>
        <w:t>（4）不符合法律法规和招标文件中规定的其他实质性要求的。</w:t>
      </w:r>
    </w:p>
    <w:bookmarkEnd w:id="131"/>
    <w:bookmarkEnd w:id="132"/>
    <w:p>
      <w:pPr>
        <w:pStyle w:val="5"/>
        <w:spacing w:line="400" w:lineRule="exact"/>
        <w:jc w:val="center"/>
        <w:rPr>
          <w:rFonts w:ascii="宋体" w:hAnsi="宋体" w:eastAsia="宋体" w:cs="宋体"/>
          <w:szCs w:val="28"/>
        </w:rPr>
      </w:pPr>
      <w:bookmarkStart w:id="133" w:name="_Toc217446060"/>
      <w:r>
        <w:rPr>
          <w:rFonts w:hint="eastAsia" w:ascii="宋体" w:hAnsi="宋体" w:eastAsia="宋体" w:cs="宋体"/>
          <w:szCs w:val="28"/>
        </w:rPr>
        <w:t>五、定标</w:t>
      </w:r>
      <w:bookmarkEnd w:id="133"/>
      <w:bookmarkStart w:id="134" w:name="_Toc217446061"/>
    </w:p>
    <w:p>
      <w:pPr>
        <w:pStyle w:val="6"/>
        <w:spacing w:line="400" w:lineRule="exact"/>
        <w:ind w:firstLine="482" w:firstLineChars="200"/>
        <w:rPr>
          <w:rFonts w:ascii="宋体" w:hAnsi="宋体" w:cs="宋体"/>
          <w:sz w:val="24"/>
        </w:rPr>
      </w:pPr>
      <w:r>
        <w:rPr>
          <w:rFonts w:hint="eastAsia" w:ascii="宋体" w:hAnsi="宋体" w:cs="宋体"/>
          <w:sz w:val="24"/>
        </w:rPr>
        <w:t>24. 定标原则</w:t>
      </w:r>
      <w:bookmarkEnd w:id="134"/>
    </w:p>
    <w:p>
      <w:pPr>
        <w:pStyle w:val="7"/>
        <w:spacing w:line="400" w:lineRule="exact"/>
        <w:ind w:firstLine="480"/>
        <w:rPr>
          <w:rFonts w:ascii="宋体" w:hAnsi="宋体" w:cs="宋体"/>
          <w:sz w:val="24"/>
        </w:rPr>
      </w:pPr>
      <w:r>
        <w:rPr>
          <w:rFonts w:hint="eastAsia" w:ascii="宋体" w:hAnsi="宋体" w:cs="宋体"/>
          <w:sz w:val="24"/>
        </w:rPr>
        <w:t>根据评委会推荐的中标候选人名单，按顺序确定中标人。</w:t>
      </w:r>
    </w:p>
    <w:p>
      <w:pPr>
        <w:pStyle w:val="6"/>
        <w:spacing w:line="400" w:lineRule="exact"/>
        <w:ind w:firstLine="482" w:firstLineChars="200"/>
        <w:rPr>
          <w:rFonts w:ascii="宋体" w:hAnsi="宋体" w:cs="宋体"/>
          <w:sz w:val="24"/>
        </w:rPr>
      </w:pPr>
      <w:bookmarkStart w:id="135" w:name="_Toc217446062"/>
      <w:r>
        <w:rPr>
          <w:rFonts w:hint="eastAsia" w:ascii="宋体" w:hAnsi="宋体" w:cs="宋体"/>
          <w:sz w:val="24"/>
        </w:rPr>
        <w:t>25. 定标程序</w:t>
      </w:r>
      <w:bookmarkEnd w:id="135"/>
    </w:p>
    <w:p>
      <w:pPr>
        <w:spacing w:line="400" w:lineRule="exact"/>
        <w:ind w:firstLine="420" w:firstLineChars="175"/>
        <w:rPr>
          <w:rFonts w:ascii="宋体" w:hAnsi="宋体" w:cs="宋体"/>
          <w:sz w:val="24"/>
        </w:rPr>
      </w:pPr>
      <w:r>
        <w:rPr>
          <w:rFonts w:hint="eastAsia" w:ascii="宋体" w:hAnsi="宋体" w:cs="宋体"/>
          <w:sz w:val="24"/>
        </w:rPr>
        <w:t>25.1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20" w:firstLineChars="175"/>
        <w:rPr>
          <w:rFonts w:ascii="宋体" w:hAnsi="宋体" w:cs="宋体"/>
          <w:sz w:val="24"/>
        </w:rPr>
      </w:pPr>
      <w:r>
        <w:rPr>
          <w:rFonts w:hint="eastAsia" w:ascii="宋体" w:hAnsi="宋体" w:cs="宋体"/>
          <w:sz w:val="24"/>
        </w:rPr>
        <w:t>25.2 招标人在完成评标报告后五个工作日内，按照评标报告中推荐的中标候选人顺序确定中标人。</w:t>
      </w:r>
    </w:p>
    <w:p>
      <w:pPr>
        <w:spacing w:line="400" w:lineRule="exact"/>
        <w:ind w:firstLine="420" w:firstLineChars="175"/>
        <w:rPr>
          <w:rFonts w:ascii="宋体" w:hAnsi="宋体" w:cs="宋体"/>
          <w:sz w:val="24"/>
        </w:rPr>
      </w:pPr>
      <w:r>
        <w:rPr>
          <w:rFonts w:hint="eastAsia" w:ascii="宋体" w:hAnsi="宋体" w:cs="宋体"/>
          <w:sz w:val="24"/>
        </w:rPr>
        <w:t>25.</w:t>
      </w:r>
      <w:r>
        <w:rPr>
          <w:rFonts w:hint="eastAsia" w:ascii="宋体" w:hAnsi="宋体" w:cs="宋体"/>
          <w:sz w:val="24"/>
          <w:lang w:val="en-US" w:eastAsia="zh-CN"/>
        </w:rPr>
        <w:t>3</w:t>
      </w:r>
      <w:r>
        <w:rPr>
          <w:rFonts w:hint="eastAsia" w:ascii="宋体" w:hAnsi="宋体" w:cs="宋体"/>
          <w:sz w:val="24"/>
        </w:rPr>
        <w:t>根据招标人确定的中标人，</w:t>
      </w:r>
      <w:r>
        <w:rPr>
          <w:rFonts w:hint="eastAsia" w:ascii="宋体" w:hAnsi="宋体" w:cs="宋体"/>
          <w:sz w:val="24"/>
          <w:lang w:val="en-US" w:eastAsia="zh-CN"/>
        </w:rPr>
        <w:t>以</w:t>
      </w:r>
      <w:r>
        <w:rPr>
          <w:rFonts w:hint="eastAsia" w:ascii="宋体" w:hAnsi="宋体" w:cs="宋体"/>
          <w:sz w:val="24"/>
        </w:rPr>
        <w:t>邮件形式和电话通知中标结果。</w:t>
      </w:r>
    </w:p>
    <w:p>
      <w:pPr>
        <w:spacing w:line="400" w:lineRule="exact"/>
        <w:ind w:firstLine="420" w:firstLineChars="175"/>
        <w:rPr>
          <w:rFonts w:ascii="宋体" w:hAnsi="宋体" w:cs="宋体"/>
          <w:sz w:val="24"/>
        </w:rPr>
      </w:pPr>
      <w:r>
        <w:rPr>
          <w:rFonts w:hint="eastAsia" w:ascii="宋体" w:hAnsi="宋体" w:cs="宋体"/>
          <w:sz w:val="24"/>
        </w:rPr>
        <w:t>25.5 招标采购单位不解释中标或落标原因，不退回投标文件和其他投标资料。</w:t>
      </w:r>
    </w:p>
    <w:p>
      <w:pPr>
        <w:pStyle w:val="6"/>
        <w:spacing w:line="400" w:lineRule="exact"/>
        <w:ind w:firstLine="482" w:firstLineChars="200"/>
        <w:rPr>
          <w:rFonts w:ascii="宋体" w:hAnsi="宋体" w:cs="宋体"/>
          <w:bCs/>
          <w:sz w:val="24"/>
        </w:rPr>
      </w:pPr>
      <w:bookmarkStart w:id="136" w:name="_Toc183582238"/>
      <w:bookmarkStart w:id="137" w:name="_Toc183682375"/>
      <w:bookmarkStart w:id="138" w:name="_Toc217446063"/>
      <w:r>
        <w:rPr>
          <w:rFonts w:hint="eastAsia" w:ascii="宋体" w:hAnsi="宋体" w:cs="宋体"/>
          <w:bCs/>
          <w:sz w:val="24"/>
        </w:rPr>
        <w:t>26．中标通知</w:t>
      </w:r>
      <w:bookmarkEnd w:id="136"/>
      <w:bookmarkEnd w:id="137"/>
      <w:r>
        <w:rPr>
          <w:rFonts w:hint="eastAsia" w:ascii="宋体" w:hAnsi="宋体" w:cs="宋体"/>
          <w:bCs/>
          <w:sz w:val="24"/>
        </w:rPr>
        <w:t>书</w:t>
      </w:r>
      <w:bookmarkEnd w:id="138"/>
    </w:p>
    <w:p>
      <w:pPr>
        <w:tabs>
          <w:tab w:val="left" w:pos="7665"/>
        </w:tabs>
        <w:spacing w:line="400" w:lineRule="exact"/>
        <w:ind w:firstLine="480" w:firstLineChars="200"/>
        <w:rPr>
          <w:rFonts w:ascii="宋体" w:hAnsi="宋体" w:cs="宋体"/>
          <w:sz w:val="24"/>
        </w:rPr>
      </w:pPr>
      <w:r>
        <w:rPr>
          <w:rFonts w:hint="eastAsia" w:ascii="宋体" w:hAnsi="宋体" w:cs="宋体"/>
          <w:sz w:val="24"/>
        </w:rPr>
        <w:t>26</w:t>
      </w:r>
      <w:r>
        <w:rPr>
          <w:rFonts w:hint="eastAsia" w:ascii="宋体" w:hAnsi="宋体" w:cs="宋体"/>
          <w:b/>
          <w:bCs/>
          <w:sz w:val="24"/>
        </w:rPr>
        <w:t>.</w:t>
      </w:r>
      <w:r>
        <w:rPr>
          <w:rFonts w:hint="eastAsia" w:ascii="宋体" w:hAnsi="宋体" w:cs="宋体"/>
          <w:sz w:val="24"/>
        </w:rPr>
        <w:t>1 中标通知书为签订采购合同的依据，是合同的有效组成部分。</w:t>
      </w:r>
    </w:p>
    <w:p>
      <w:pPr>
        <w:tabs>
          <w:tab w:val="left" w:pos="7665"/>
        </w:tabs>
        <w:spacing w:line="400" w:lineRule="exact"/>
        <w:ind w:firstLine="480"/>
        <w:rPr>
          <w:rFonts w:ascii="宋体" w:hAnsi="宋体" w:cs="宋体"/>
          <w:sz w:val="24"/>
        </w:rPr>
      </w:pPr>
      <w:r>
        <w:rPr>
          <w:rFonts w:hint="eastAsia" w:ascii="宋体" w:hAnsi="宋体" w:cs="宋体"/>
          <w:sz w:val="24"/>
        </w:rPr>
        <w:t>26.2 中标通知书对招标人和中标人均具有法律效力。中标通知书发出后，招标人改变中标结果，或者中标人无正当理由放弃中标的，应当承担相应的法律责任。</w:t>
      </w:r>
    </w:p>
    <w:p>
      <w:pPr>
        <w:tabs>
          <w:tab w:val="left" w:pos="7665"/>
        </w:tabs>
        <w:spacing w:line="400" w:lineRule="exact"/>
        <w:ind w:firstLine="480"/>
        <w:rPr>
          <w:rFonts w:ascii="宋体" w:hAnsi="宋体" w:cs="宋体"/>
          <w:sz w:val="24"/>
        </w:rPr>
      </w:pPr>
      <w:r>
        <w:rPr>
          <w:rFonts w:hint="eastAsia" w:ascii="宋体" w:hAnsi="宋体" w:cs="宋体"/>
          <w:sz w:val="24"/>
        </w:rPr>
        <w:t>26．3中标人的投标文件本应作为无效投标处理或者有招标采购法律法规规章制度规定的中标无效情形的，招标人在取得有权主体的认定以后，应当宣布发出的中标通知书无效，并收回发出的中标通知书（中标人也应当缴回），依法重新确定中标人或者重新开展采购活动。</w:t>
      </w:r>
    </w:p>
    <w:p>
      <w:pPr>
        <w:tabs>
          <w:tab w:val="left" w:pos="7665"/>
        </w:tabs>
        <w:spacing w:line="400" w:lineRule="exact"/>
        <w:jc w:val="center"/>
        <w:rPr>
          <w:rFonts w:ascii="宋体" w:hAnsi="宋体" w:cs="宋体"/>
          <w:b/>
          <w:sz w:val="28"/>
          <w:szCs w:val="28"/>
        </w:rPr>
      </w:pPr>
      <w:bookmarkStart w:id="139" w:name="_Toc217446064"/>
      <w:bookmarkStart w:id="140" w:name="_Toc183682377"/>
      <w:bookmarkStart w:id="141" w:name="_Toc183582240"/>
      <w:r>
        <w:rPr>
          <w:rFonts w:hint="eastAsia" w:ascii="宋体" w:hAnsi="宋体" w:cs="宋体"/>
          <w:b/>
          <w:sz w:val="28"/>
          <w:szCs w:val="28"/>
        </w:rPr>
        <w:t>六、签订及履行合同和验收</w:t>
      </w:r>
      <w:bookmarkEnd w:id="139"/>
    </w:p>
    <w:p>
      <w:pPr>
        <w:pStyle w:val="6"/>
        <w:spacing w:line="400" w:lineRule="exact"/>
        <w:ind w:firstLine="482" w:firstLineChars="200"/>
        <w:rPr>
          <w:rFonts w:ascii="宋体" w:hAnsi="宋体" w:cs="宋体"/>
          <w:bCs/>
          <w:sz w:val="24"/>
        </w:rPr>
      </w:pPr>
      <w:bookmarkStart w:id="142" w:name="_Toc217446065"/>
      <w:r>
        <w:rPr>
          <w:rFonts w:hint="eastAsia" w:ascii="宋体" w:hAnsi="宋体" w:cs="宋体"/>
          <w:bCs/>
          <w:sz w:val="24"/>
        </w:rPr>
        <w:t>27. 签订合同</w:t>
      </w:r>
      <w:bookmarkEnd w:id="142"/>
    </w:p>
    <w:p>
      <w:pPr>
        <w:spacing w:line="400" w:lineRule="exact"/>
        <w:ind w:firstLine="480" w:firstLineChars="200"/>
        <w:rPr>
          <w:rFonts w:ascii="宋体" w:hAnsi="宋体" w:cs="宋体"/>
          <w:sz w:val="24"/>
        </w:rPr>
      </w:pPr>
      <w:r>
        <w:rPr>
          <w:rFonts w:hint="eastAsia" w:ascii="宋体" w:hAnsi="宋体" w:cs="宋体"/>
          <w:sz w:val="24"/>
        </w:rPr>
        <w:t>27.1 中标人在收到招标人发出的《中标通知书》后，应在招标文件规定的时间内与招标人签订采购合同。由于中标人的原因逾期未与招标人签订采购合同的，将视为放弃中标，取消其中标资格并将按相关规定进行处理。</w:t>
      </w:r>
    </w:p>
    <w:p>
      <w:pPr>
        <w:spacing w:line="400" w:lineRule="exact"/>
        <w:ind w:firstLine="420" w:firstLineChars="175"/>
        <w:rPr>
          <w:rFonts w:ascii="宋体" w:hAnsi="宋体" w:cs="宋体"/>
          <w:sz w:val="24"/>
        </w:rPr>
      </w:pPr>
      <w:r>
        <w:rPr>
          <w:rFonts w:hint="eastAsia" w:ascii="宋体" w:hAnsi="宋体" w:cs="宋体"/>
          <w:sz w:val="24"/>
        </w:rPr>
        <w:t>27.2 招标人不得向中标人提出任何不合理的要求，作为签订合同的条件，不得与中标人私下订立背离合同实质性内容的任何协议，所签订的合同不得对招标文件和中标人投标文件作实质性修改。</w:t>
      </w:r>
    </w:p>
    <w:p>
      <w:pPr>
        <w:spacing w:line="400" w:lineRule="exact"/>
        <w:ind w:firstLine="420" w:firstLineChars="175"/>
        <w:rPr>
          <w:rFonts w:ascii="宋体" w:hAnsi="宋体" w:cs="宋体"/>
          <w:sz w:val="24"/>
        </w:rPr>
      </w:pPr>
      <w:r>
        <w:rPr>
          <w:rFonts w:hint="eastAsia" w:ascii="宋体" w:hAnsi="宋体" w:cs="宋体"/>
          <w:sz w:val="24"/>
        </w:rPr>
        <w:t>27.3 中标人因不可抗力原因不能履行采购合同或放弃中标的，招标人可以与排在中标人之后第一位的中标候选人签订采购合同，以此类推。</w:t>
      </w:r>
    </w:p>
    <w:p>
      <w:pPr>
        <w:pStyle w:val="6"/>
        <w:spacing w:line="400" w:lineRule="exact"/>
        <w:ind w:firstLine="482" w:firstLineChars="200"/>
        <w:rPr>
          <w:rFonts w:ascii="宋体" w:hAnsi="宋体" w:cs="宋体"/>
          <w:bCs/>
          <w:sz w:val="24"/>
        </w:rPr>
      </w:pPr>
      <w:bookmarkStart w:id="143" w:name="_Toc217446066"/>
      <w:r>
        <w:rPr>
          <w:rFonts w:hint="eastAsia" w:ascii="宋体" w:hAnsi="宋体" w:cs="宋体"/>
          <w:bCs/>
          <w:sz w:val="24"/>
        </w:rPr>
        <w:t>28. 合同分包</w:t>
      </w:r>
      <w:bookmarkEnd w:id="143"/>
    </w:p>
    <w:p>
      <w:pPr>
        <w:spacing w:line="400" w:lineRule="exact"/>
        <w:ind w:firstLine="480" w:firstLineChars="200"/>
        <w:rPr>
          <w:rFonts w:ascii="宋体" w:hAnsi="宋体" w:cs="宋体"/>
          <w:sz w:val="24"/>
        </w:rPr>
      </w:pPr>
      <w:r>
        <w:rPr>
          <w:rFonts w:hint="eastAsia" w:ascii="宋体" w:hAnsi="宋体" w:cs="宋体"/>
          <w:sz w:val="24"/>
        </w:rPr>
        <w:t>28.1 经招标人同意，中标人可以依法采取分包方式履行合同。这种要求应当在合同签订之前征得招标人同意，并且分包供应商履行的分包项目的品牌、规格型号及技术要求等，必须与中标的一致。</w:t>
      </w:r>
    </w:p>
    <w:p>
      <w:pPr>
        <w:spacing w:line="400" w:lineRule="exact"/>
        <w:ind w:firstLine="495"/>
        <w:rPr>
          <w:rFonts w:ascii="宋体" w:hAnsi="宋体" w:cs="宋体"/>
          <w:sz w:val="24"/>
        </w:rPr>
      </w:pPr>
      <w:r>
        <w:rPr>
          <w:rFonts w:hint="eastAsia" w:ascii="宋体" w:hAnsi="宋体" w:cs="宋体"/>
          <w:sz w:val="24"/>
        </w:rPr>
        <w:t>28.2 采购合同实行分包履行的，中标人就采购项目和分包项目向招标人负责，分包供应商就分包项目承担责任。</w:t>
      </w:r>
    </w:p>
    <w:p>
      <w:pPr>
        <w:pStyle w:val="6"/>
        <w:spacing w:line="400" w:lineRule="exact"/>
        <w:ind w:firstLine="482" w:firstLineChars="200"/>
        <w:rPr>
          <w:rFonts w:ascii="宋体" w:hAnsi="宋体" w:cs="宋体"/>
          <w:bCs/>
          <w:sz w:val="24"/>
        </w:rPr>
      </w:pPr>
      <w:bookmarkStart w:id="144" w:name="_Toc217446067"/>
      <w:r>
        <w:rPr>
          <w:rFonts w:hint="eastAsia" w:ascii="宋体" w:hAnsi="宋体" w:cs="宋体"/>
          <w:bCs/>
          <w:sz w:val="24"/>
        </w:rPr>
        <w:t>29. 招标人增加合同标的权</w:t>
      </w:r>
      <w:bookmarkEnd w:id="144"/>
      <w:r>
        <w:rPr>
          <w:rFonts w:hint="eastAsia" w:ascii="宋体" w:hAnsi="宋体" w:cs="宋体"/>
          <w:bCs/>
          <w:sz w:val="24"/>
        </w:rPr>
        <w:t>利</w:t>
      </w:r>
    </w:p>
    <w:p>
      <w:pPr>
        <w:spacing w:line="400" w:lineRule="exact"/>
        <w:ind w:firstLine="495"/>
        <w:rPr>
          <w:rFonts w:ascii="宋体" w:hAnsi="宋体" w:cs="宋体"/>
          <w:sz w:val="24"/>
        </w:rPr>
      </w:pPr>
      <w:r>
        <w:rPr>
          <w:rFonts w:hint="eastAsia" w:ascii="宋体" w:hAnsi="宋体" w:cs="宋体"/>
          <w:sz w:val="24"/>
        </w:rPr>
        <w:t>采购合同履行过程中，招标人需要追加与合同标的相同的货物或者服务的，在不改变合同其他条款的前提下，可以与中标供应商协商签订补充合同，但所有补充合同的采购金额不得超过原合同采购金额的百分之十。</w:t>
      </w:r>
    </w:p>
    <w:p>
      <w:pPr>
        <w:pStyle w:val="6"/>
        <w:spacing w:line="400" w:lineRule="exact"/>
        <w:ind w:firstLine="482" w:firstLineChars="200"/>
        <w:rPr>
          <w:rFonts w:ascii="宋体" w:hAnsi="宋体" w:cs="宋体"/>
          <w:bCs/>
          <w:sz w:val="24"/>
        </w:rPr>
      </w:pPr>
      <w:bookmarkStart w:id="145" w:name="_Toc217446069"/>
      <w:r>
        <w:rPr>
          <w:rFonts w:hint="eastAsia" w:ascii="宋体" w:hAnsi="宋体" w:cs="宋体"/>
          <w:bCs/>
          <w:sz w:val="24"/>
        </w:rPr>
        <w:t>30. 履行合同</w:t>
      </w:r>
      <w:bookmarkEnd w:id="145"/>
    </w:p>
    <w:p>
      <w:pPr>
        <w:spacing w:line="400" w:lineRule="exact"/>
        <w:rPr>
          <w:rFonts w:ascii="宋体" w:hAnsi="宋体" w:cs="宋体"/>
          <w:sz w:val="24"/>
        </w:rPr>
      </w:pPr>
      <w:r>
        <w:rPr>
          <w:rFonts w:hint="eastAsia" w:ascii="宋体" w:hAnsi="宋体" w:cs="宋体"/>
          <w:sz w:val="24"/>
        </w:rPr>
        <w:t xml:space="preserve">    30.1 中标人与招标人签订合同后，合同双方应严格执行合同条款，履行合同规定的义务，保证合同的顺利完成。</w:t>
      </w:r>
    </w:p>
    <w:p>
      <w:pPr>
        <w:spacing w:line="400" w:lineRule="exact"/>
        <w:rPr>
          <w:rFonts w:ascii="宋体" w:hAnsi="宋体" w:cs="宋体"/>
          <w:sz w:val="24"/>
        </w:rPr>
      </w:pPr>
      <w:r>
        <w:rPr>
          <w:rFonts w:hint="eastAsia" w:ascii="宋体" w:hAnsi="宋体" w:cs="宋体"/>
          <w:sz w:val="24"/>
        </w:rPr>
        <w:t xml:space="preserve">    30.2 在合同履行过程中，如发生合同纠纷，合同双方应按照《合同法》的有关规定进行处理。</w:t>
      </w:r>
    </w:p>
    <w:bookmarkEnd w:id="140"/>
    <w:bookmarkEnd w:id="141"/>
    <w:p>
      <w:pPr>
        <w:pStyle w:val="5"/>
        <w:spacing w:line="400" w:lineRule="exact"/>
        <w:jc w:val="center"/>
        <w:rPr>
          <w:rFonts w:ascii="宋体" w:hAnsi="宋体" w:eastAsia="宋体" w:cs="宋体"/>
          <w:szCs w:val="28"/>
        </w:rPr>
      </w:pPr>
      <w:bookmarkStart w:id="146" w:name="_Toc217446074"/>
      <w:bookmarkStart w:id="147" w:name="_Toc183682380"/>
      <w:bookmarkStart w:id="148" w:name="_Toc183582243"/>
      <w:r>
        <w:rPr>
          <w:rFonts w:hint="eastAsia" w:ascii="宋体" w:hAnsi="宋体" w:eastAsia="宋体" w:cs="宋体"/>
          <w:szCs w:val="28"/>
        </w:rPr>
        <w:t>七、投标纪律要求</w:t>
      </w:r>
      <w:bookmarkEnd w:id="146"/>
    </w:p>
    <w:p>
      <w:pPr>
        <w:pStyle w:val="6"/>
        <w:spacing w:line="400" w:lineRule="exact"/>
        <w:ind w:firstLine="482" w:firstLineChars="200"/>
        <w:rPr>
          <w:rFonts w:ascii="宋体" w:hAnsi="宋体" w:cs="宋体"/>
          <w:bCs/>
          <w:sz w:val="24"/>
        </w:rPr>
      </w:pPr>
      <w:bookmarkStart w:id="149" w:name="_Toc217446075"/>
      <w:r>
        <w:rPr>
          <w:rFonts w:hint="eastAsia" w:ascii="宋体" w:hAnsi="宋体" w:cs="宋体"/>
          <w:sz w:val="24"/>
        </w:rPr>
        <w:t xml:space="preserve">31. </w:t>
      </w:r>
      <w:r>
        <w:rPr>
          <w:rFonts w:hint="eastAsia" w:ascii="宋体" w:hAnsi="宋体" w:cs="宋体"/>
          <w:bCs/>
          <w:sz w:val="24"/>
        </w:rPr>
        <w:t>投标人不得具有的情形</w:t>
      </w:r>
      <w:bookmarkEnd w:id="149"/>
    </w:p>
    <w:p>
      <w:pPr>
        <w:pStyle w:val="7"/>
        <w:spacing w:line="400" w:lineRule="exact"/>
        <w:ind w:firstLine="480"/>
        <w:rPr>
          <w:rFonts w:ascii="宋体" w:hAnsi="宋体" w:cs="宋体"/>
          <w:sz w:val="24"/>
        </w:rPr>
      </w:pPr>
      <w:r>
        <w:rPr>
          <w:rFonts w:hint="eastAsia" w:ascii="宋体" w:hAnsi="宋体" w:cs="宋体"/>
          <w:sz w:val="24"/>
        </w:rPr>
        <w:t>投标人参加投标不得有下列情形：</w:t>
      </w:r>
    </w:p>
    <w:p>
      <w:pPr>
        <w:spacing w:line="400" w:lineRule="exact"/>
        <w:ind w:firstLine="460" w:firstLineChars="192"/>
        <w:rPr>
          <w:rFonts w:ascii="宋体" w:hAnsi="宋体" w:cs="宋体"/>
          <w:sz w:val="24"/>
        </w:rPr>
      </w:pPr>
      <w:r>
        <w:rPr>
          <w:rFonts w:hint="eastAsia" w:ascii="宋体" w:hAnsi="宋体" w:cs="宋体"/>
          <w:sz w:val="24"/>
        </w:rPr>
        <w:t>（1）提供虚假材料谋取中标；</w:t>
      </w:r>
    </w:p>
    <w:p>
      <w:pPr>
        <w:spacing w:line="400" w:lineRule="exact"/>
        <w:ind w:firstLine="460" w:firstLineChars="192"/>
        <w:rPr>
          <w:rFonts w:ascii="宋体" w:hAnsi="宋体" w:cs="宋体"/>
          <w:sz w:val="24"/>
        </w:rPr>
      </w:pPr>
      <w:r>
        <w:rPr>
          <w:rFonts w:hint="eastAsia" w:ascii="宋体" w:hAnsi="宋体" w:cs="宋体"/>
          <w:sz w:val="24"/>
        </w:rPr>
        <w:t>（2）采取不正当手段诋毁、排挤其他投标人；</w:t>
      </w:r>
    </w:p>
    <w:p>
      <w:pPr>
        <w:spacing w:line="400" w:lineRule="exact"/>
        <w:ind w:firstLine="480" w:firstLineChars="200"/>
        <w:rPr>
          <w:rFonts w:ascii="宋体" w:hAnsi="宋体" w:cs="宋体"/>
          <w:sz w:val="24"/>
        </w:rPr>
      </w:pPr>
      <w:r>
        <w:rPr>
          <w:rFonts w:hint="eastAsia" w:ascii="宋体" w:hAnsi="宋体" w:cs="宋体"/>
          <w:sz w:val="24"/>
        </w:rPr>
        <w:t>（3）与招标采购单位、其他投标人恶意串通；</w:t>
      </w:r>
    </w:p>
    <w:p>
      <w:pPr>
        <w:spacing w:line="400" w:lineRule="exact"/>
        <w:ind w:firstLine="338" w:firstLineChars="141"/>
        <w:rPr>
          <w:rFonts w:ascii="宋体" w:hAnsi="宋体" w:cs="宋体"/>
          <w:sz w:val="24"/>
        </w:rPr>
      </w:pPr>
      <w:r>
        <w:rPr>
          <w:rFonts w:hint="eastAsia" w:ascii="宋体" w:hAnsi="宋体" w:cs="宋体"/>
          <w:sz w:val="24"/>
        </w:rPr>
        <w:t xml:space="preserve"> （4）向招标采购单位、评标委员会成员行贿或者提供其他不正当利益；</w:t>
      </w:r>
    </w:p>
    <w:p>
      <w:pPr>
        <w:pStyle w:val="9"/>
        <w:tabs>
          <w:tab w:val="left" w:pos="720"/>
        </w:tabs>
        <w:spacing w:line="400" w:lineRule="exact"/>
        <w:ind w:firstLine="460" w:firstLineChars="192"/>
        <w:rPr>
          <w:rFonts w:ascii="宋体" w:hAnsi="宋体" w:cs="宋体"/>
          <w:sz w:val="24"/>
        </w:rPr>
      </w:pPr>
      <w:r>
        <w:rPr>
          <w:rFonts w:hint="eastAsia" w:ascii="宋体" w:hAnsi="宋体" w:cs="宋体"/>
          <w:sz w:val="24"/>
        </w:rPr>
        <w:t>（5）在招标过程中与招标采购单位进行协商谈判；</w:t>
      </w:r>
    </w:p>
    <w:p>
      <w:pPr>
        <w:pStyle w:val="9"/>
        <w:spacing w:line="400" w:lineRule="exact"/>
        <w:ind w:firstLine="480" w:firstLineChars="200"/>
        <w:rPr>
          <w:rFonts w:ascii="宋体" w:hAnsi="宋体" w:cs="宋体"/>
          <w:sz w:val="24"/>
        </w:rPr>
      </w:pPr>
      <w:r>
        <w:rPr>
          <w:rFonts w:hint="eastAsia" w:ascii="宋体" w:hAnsi="宋体" w:cs="宋体"/>
          <w:sz w:val="24"/>
        </w:rPr>
        <w:t>（6）拒绝有关部门的监督检查或者向监督检查部门提供虚假情况。</w:t>
      </w:r>
    </w:p>
    <w:p>
      <w:pPr>
        <w:pStyle w:val="7"/>
        <w:spacing w:line="400" w:lineRule="exact"/>
        <w:ind w:firstLine="480"/>
        <w:rPr>
          <w:rFonts w:ascii="宋体" w:hAnsi="宋体" w:cs="宋体"/>
          <w:sz w:val="24"/>
        </w:rPr>
      </w:pPr>
      <w:r>
        <w:rPr>
          <w:rFonts w:hint="eastAsia" w:ascii="宋体" w:hAnsi="宋体" w:cs="宋体"/>
          <w:sz w:val="24"/>
        </w:rPr>
        <w:t>有上述情形之一的投标人，属于不合格投标人，其投标或中标资格将被取消。</w:t>
      </w:r>
    </w:p>
    <w:p>
      <w:pPr>
        <w:pStyle w:val="7"/>
        <w:spacing w:line="400" w:lineRule="exact"/>
        <w:ind w:firstLine="480"/>
        <w:rPr>
          <w:rFonts w:ascii="宋体" w:hAnsi="宋体" w:cs="宋体"/>
          <w:sz w:val="24"/>
        </w:rPr>
      </w:pPr>
    </w:p>
    <w:p>
      <w:pPr>
        <w:pStyle w:val="7"/>
        <w:spacing w:line="400" w:lineRule="exact"/>
        <w:ind w:firstLine="480"/>
        <w:rPr>
          <w:rFonts w:ascii="宋体" w:hAnsi="宋体" w:cs="宋体"/>
          <w:sz w:val="24"/>
        </w:rPr>
      </w:pPr>
    </w:p>
    <w:bookmarkEnd w:id="147"/>
    <w:bookmarkEnd w:id="148"/>
    <w:p>
      <w:pPr>
        <w:pStyle w:val="4"/>
        <w:spacing w:line="240" w:lineRule="atLeast"/>
        <w:jc w:val="center"/>
        <w:rPr>
          <w:rFonts w:ascii="宋体" w:hAnsi="宋体" w:cs="宋体"/>
          <w:bCs w:val="0"/>
          <w:sz w:val="36"/>
        </w:rPr>
        <w:sectPr>
          <w:pgSz w:w="11907" w:h="16840"/>
          <w:pgMar w:top="1440" w:right="1474" w:bottom="1440" w:left="1474" w:header="851" w:footer="992" w:gutter="0"/>
          <w:cols w:space="720" w:num="1"/>
          <w:docGrid w:linePitch="312" w:charSpace="0"/>
        </w:sectPr>
      </w:pPr>
      <w:bookmarkStart w:id="150" w:name="_Toc217446081"/>
    </w:p>
    <w:p>
      <w:pPr>
        <w:pStyle w:val="4"/>
        <w:spacing w:line="240" w:lineRule="atLeast"/>
        <w:jc w:val="center"/>
        <w:rPr>
          <w:rFonts w:ascii="宋体" w:hAnsi="宋体" w:cs="宋体"/>
          <w:bCs w:val="0"/>
          <w:sz w:val="36"/>
        </w:rPr>
      </w:pPr>
      <w:bookmarkStart w:id="151" w:name="_Toc375898985"/>
      <w:r>
        <w:rPr>
          <w:rFonts w:hint="eastAsia" w:ascii="宋体" w:hAnsi="宋体" w:cs="宋体"/>
          <w:bCs w:val="0"/>
          <w:sz w:val="36"/>
        </w:rPr>
        <w:t>第三章 投标文件格式</w:t>
      </w:r>
      <w:bookmarkEnd w:id="150"/>
      <w:bookmarkEnd w:id="151"/>
    </w:p>
    <w:p>
      <w:pPr>
        <w:pStyle w:val="5"/>
        <w:spacing w:line="400" w:lineRule="exact"/>
        <w:rPr>
          <w:rFonts w:ascii="宋体" w:hAnsi="宋体" w:eastAsia="宋体" w:cs="宋体"/>
          <w:szCs w:val="28"/>
        </w:rPr>
      </w:pPr>
      <w:bookmarkStart w:id="152" w:name="_Toc217446082"/>
      <w:r>
        <w:rPr>
          <w:rFonts w:hint="eastAsia" w:ascii="宋体" w:hAnsi="宋体" w:eastAsia="宋体" w:cs="宋体"/>
          <w:szCs w:val="28"/>
        </w:rPr>
        <w:t>一、投 标 函</w:t>
      </w:r>
      <w:bookmarkEnd w:id="152"/>
    </w:p>
    <w:p>
      <w:pPr>
        <w:pStyle w:val="9"/>
        <w:spacing w:line="400" w:lineRule="exact"/>
        <w:ind w:firstLine="0"/>
        <w:rPr>
          <w:rFonts w:ascii="宋体" w:hAnsi="宋体" w:cs="宋体"/>
          <w:bCs/>
          <w:sz w:val="24"/>
          <w:u w:val="single"/>
        </w:rPr>
      </w:pPr>
      <w:r>
        <w:rPr>
          <w:rFonts w:hint="eastAsia" w:ascii="宋体" w:hAnsi="宋体" w:cs="宋体"/>
          <w:bCs/>
          <w:sz w:val="24"/>
          <w:u w:val="single"/>
        </w:rPr>
        <w:t>重庆交通职业学院</w:t>
      </w:r>
      <w:r>
        <w:rPr>
          <w:rFonts w:hint="eastAsia" w:ascii="宋体" w:hAnsi="宋体" w:cs="宋体"/>
          <w:bCs/>
          <w:sz w:val="24"/>
        </w:rPr>
        <w:t>：</w:t>
      </w:r>
    </w:p>
    <w:p>
      <w:pPr>
        <w:pStyle w:val="9"/>
        <w:spacing w:line="400" w:lineRule="exact"/>
        <w:ind w:firstLine="480" w:firstLineChars="200"/>
        <w:rPr>
          <w:rFonts w:ascii="宋体" w:hAnsi="宋体" w:cs="宋体"/>
          <w:bCs/>
          <w:sz w:val="24"/>
        </w:rPr>
      </w:pPr>
      <w:r>
        <w:rPr>
          <w:rFonts w:hint="eastAsia" w:ascii="宋体" w:hAnsi="宋体" w:cs="宋体"/>
          <w:bCs/>
          <w:sz w:val="24"/>
        </w:rPr>
        <w:t>我方全面研究了 “</w:t>
      </w:r>
      <w:r>
        <w:rPr>
          <w:rFonts w:hint="eastAsia" w:ascii="宋体" w:hAnsi="宋体" w:cs="宋体"/>
          <w:b/>
          <w:sz w:val="24"/>
          <w:szCs w:val="28"/>
        </w:rPr>
        <w:t>重庆交通职业</w:t>
      </w:r>
      <w:r>
        <w:rPr>
          <w:rFonts w:hint="eastAsia" w:ascii="宋体" w:hAnsi="宋体" w:cs="宋体"/>
          <w:b/>
          <w:sz w:val="24"/>
          <w:szCs w:val="28"/>
          <w:lang w:val="en-US" w:eastAsia="zh-CN"/>
        </w:rPr>
        <w:t>学院数字造价实训</w:t>
      </w:r>
      <w:r>
        <w:rPr>
          <w:rFonts w:hint="eastAsia" w:ascii="宋体" w:hAnsi="宋体" w:cs="宋体"/>
          <w:b/>
          <w:sz w:val="24"/>
          <w:szCs w:val="28"/>
        </w:rPr>
        <w:t>项目</w:t>
      </w:r>
      <w:r>
        <w:rPr>
          <w:rFonts w:hint="eastAsia" w:ascii="宋体" w:hAnsi="宋体" w:cs="宋体"/>
          <w:bCs/>
          <w:sz w:val="24"/>
        </w:rPr>
        <w:t>”招标文件（招标编号），决定参加贵单位组织的本项目投标。</w:t>
      </w:r>
    </w:p>
    <w:p>
      <w:pPr>
        <w:pStyle w:val="9"/>
        <w:spacing w:line="400" w:lineRule="exact"/>
        <w:ind w:firstLine="480" w:firstLineChars="200"/>
        <w:rPr>
          <w:rFonts w:ascii="宋体" w:hAnsi="宋体" w:cs="宋体"/>
          <w:bCs/>
          <w:sz w:val="24"/>
        </w:rPr>
      </w:pPr>
      <w:r>
        <w:rPr>
          <w:rFonts w:hint="eastAsia" w:ascii="宋体" w:hAnsi="宋体" w:cs="宋体"/>
          <w:bCs/>
          <w:sz w:val="24"/>
        </w:rPr>
        <w:t>我方授权</w:t>
      </w:r>
      <w:r>
        <w:rPr>
          <w:rFonts w:hint="eastAsia" w:ascii="宋体" w:hAnsi="宋体" w:cs="宋体"/>
          <w:bCs/>
          <w:sz w:val="24"/>
          <w:u w:val="single"/>
        </w:rPr>
        <w:t xml:space="preserve">            </w:t>
      </w:r>
      <w:r>
        <w:rPr>
          <w:rFonts w:hint="eastAsia" w:ascii="宋体" w:hAnsi="宋体" w:cs="宋体"/>
          <w:bCs/>
          <w:sz w:val="24"/>
        </w:rPr>
        <w:t>（姓名、职务）代表我方（投标单位的名称）全权处理本项目投标的有关事宜。</w:t>
      </w:r>
    </w:p>
    <w:p>
      <w:pPr>
        <w:pStyle w:val="9"/>
        <w:spacing w:line="400" w:lineRule="exact"/>
        <w:ind w:firstLine="480" w:firstLineChars="200"/>
        <w:rPr>
          <w:rFonts w:ascii="宋体" w:hAnsi="宋体" w:cs="宋体"/>
          <w:bCs/>
          <w:sz w:val="24"/>
        </w:rPr>
      </w:pPr>
      <w:r>
        <w:rPr>
          <w:rFonts w:hint="eastAsia" w:ascii="宋体" w:hAnsi="宋体" w:cs="宋体"/>
          <w:bCs/>
          <w:sz w:val="24"/>
        </w:rPr>
        <w:t>1、我方自愿按照招标文件规定的各项要求向招标人提供所需货物/服务，总投标价为人民币</w:t>
      </w:r>
      <w:r>
        <w:rPr>
          <w:rFonts w:hint="eastAsia" w:ascii="宋体" w:hAnsi="宋体" w:cs="宋体"/>
          <w:bCs/>
          <w:sz w:val="24"/>
          <w:u w:val="single"/>
        </w:rPr>
        <w:t xml:space="preserve">        </w:t>
      </w:r>
      <w:r>
        <w:rPr>
          <w:rFonts w:hint="eastAsia" w:ascii="宋体" w:hAnsi="宋体" w:cs="宋体"/>
          <w:bCs/>
          <w:sz w:val="24"/>
        </w:rPr>
        <w:t>万元（大写：   ）。</w:t>
      </w:r>
    </w:p>
    <w:p>
      <w:pPr>
        <w:pStyle w:val="9"/>
        <w:spacing w:line="400" w:lineRule="exact"/>
        <w:ind w:firstLine="480" w:firstLineChars="200"/>
        <w:rPr>
          <w:rFonts w:ascii="宋体" w:hAnsi="宋体" w:cs="宋体"/>
          <w:bCs/>
          <w:sz w:val="24"/>
        </w:rPr>
      </w:pPr>
      <w:r>
        <w:rPr>
          <w:rFonts w:hint="eastAsia" w:ascii="宋体" w:hAnsi="宋体" w:cs="宋体"/>
          <w:bCs/>
          <w:sz w:val="24"/>
        </w:rPr>
        <w:t>2、一旦我方中标，我方将严格履行合同规定的责任和义务，保证于合同签字生效后日内完成项目的安装、调试，并交付招标人验收、使用。</w:t>
      </w:r>
    </w:p>
    <w:p>
      <w:pPr>
        <w:pStyle w:val="9"/>
        <w:spacing w:line="400" w:lineRule="exact"/>
        <w:ind w:firstLine="480" w:firstLineChars="200"/>
        <w:rPr>
          <w:rFonts w:ascii="宋体" w:hAnsi="宋体" w:cs="宋体"/>
          <w:bCs/>
          <w:sz w:val="24"/>
        </w:rPr>
      </w:pPr>
      <w:r>
        <w:rPr>
          <w:rFonts w:hint="eastAsia" w:ascii="宋体" w:hAnsi="宋体" w:cs="宋体"/>
          <w:bCs/>
          <w:sz w:val="24"/>
        </w:rPr>
        <w:t>3、我方同意按照招标文件的要求，向贵单位交纳人民币</w:t>
      </w:r>
      <w:r>
        <w:rPr>
          <w:rFonts w:hint="eastAsia" w:ascii="宋体" w:hAnsi="宋体" w:cs="宋体"/>
          <w:bCs/>
          <w:sz w:val="24"/>
          <w:u w:val="single"/>
        </w:rPr>
        <w:t xml:space="preserve">    /    </w:t>
      </w:r>
      <w:r>
        <w:rPr>
          <w:rFonts w:hint="eastAsia" w:ascii="宋体" w:hAnsi="宋体" w:cs="宋体"/>
          <w:bCs/>
          <w:sz w:val="24"/>
        </w:rPr>
        <w:t>万元（大写：</w:t>
      </w:r>
      <w:r>
        <w:rPr>
          <w:rFonts w:hint="eastAsia" w:ascii="宋体" w:hAnsi="宋体" w:cs="宋体"/>
          <w:bCs/>
          <w:sz w:val="24"/>
          <w:u w:val="single"/>
        </w:rPr>
        <w:t xml:space="preserve">      /   </w:t>
      </w:r>
      <w:r>
        <w:rPr>
          <w:rFonts w:hint="eastAsia" w:ascii="宋体" w:hAnsi="宋体" w:cs="宋体"/>
          <w:bCs/>
          <w:sz w:val="24"/>
        </w:rPr>
        <w:t>）的投标保证金。并承诺：下列任何情况发生时，我方将不要求退还投标保证金：</w:t>
      </w:r>
    </w:p>
    <w:p>
      <w:pPr>
        <w:pStyle w:val="9"/>
        <w:spacing w:line="400" w:lineRule="exact"/>
        <w:ind w:firstLine="480" w:firstLineChars="200"/>
        <w:rPr>
          <w:rFonts w:ascii="宋体" w:hAnsi="宋体" w:cs="宋体"/>
          <w:bCs/>
          <w:sz w:val="24"/>
        </w:rPr>
      </w:pPr>
      <w:r>
        <w:rPr>
          <w:rFonts w:hint="eastAsia" w:ascii="宋体" w:hAnsi="宋体" w:cs="宋体"/>
          <w:bCs/>
          <w:sz w:val="24"/>
        </w:rPr>
        <w:t>（1）如果我方在投标有效期内撤回投标；</w:t>
      </w:r>
    </w:p>
    <w:p>
      <w:pPr>
        <w:pStyle w:val="9"/>
        <w:spacing w:line="400" w:lineRule="exact"/>
        <w:ind w:firstLine="480" w:firstLineChars="200"/>
        <w:rPr>
          <w:rFonts w:ascii="宋体" w:hAnsi="宋体" w:cs="宋体"/>
          <w:bCs/>
          <w:sz w:val="24"/>
        </w:rPr>
      </w:pPr>
      <w:r>
        <w:rPr>
          <w:rFonts w:hint="eastAsia" w:ascii="宋体" w:hAnsi="宋体" w:cs="宋体"/>
          <w:bCs/>
          <w:sz w:val="24"/>
        </w:rPr>
        <w:t>（2）我方提供了虚假响应招标文件的投标文件；</w:t>
      </w:r>
    </w:p>
    <w:p>
      <w:pPr>
        <w:pStyle w:val="9"/>
        <w:spacing w:line="400" w:lineRule="exact"/>
        <w:ind w:firstLine="480" w:firstLineChars="200"/>
        <w:rPr>
          <w:rFonts w:ascii="宋体" w:hAnsi="宋体" w:cs="宋体"/>
          <w:bCs/>
          <w:sz w:val="24"/>
        </w:rPr>
      </w:pPr>
      <w:r>
        <w:rPr>
          <w:rFonts w:hint="eastAsia" w:ascii="宋体" w:hAnsi="宋体" w:cs="宋体"/>
          <w:bCs/>
          <w:sz w:val="24"/>
        </w:rPr>
        <w:t>（3）在投标过程中有违规违纪行为；</w:t>
      </w:r>
    </w:p>
    <w:p>
      <w:pPr>
        <w:pStyle w:val="9"/>
        <w:spacing w:line="400" w:lineRule="exact"/>
        <w:ind w:firstLine="480" w:firstLineChars="200"/>
        <w:rPr>
          <w:rFonts w:ascii="宋体" w:hAnsi="宋体" w:cs="宋体"/>
          <w:bCs/>
          <w:sz w:val="24"/>
        </w:rPr>
      </w:pPr>
      <w:r>
        <w:rPr>
          <w:rFonts w:hint="eastAsia" w:ascii="宋体" w:hAnsi="宋体" w:cs="宋体"/>
          <w:bCs/>
          <w:sz w:val="24"/>
        </w:rPr>
        <w:t>（4）我方在投标有效期内收到中标通知书后，由于我方原因未能按照招标文件要求提交履约保证金或与招标人签订并履行合同。</w:t>
      </w:r>
    </w:p>
    <w:p>
      <w:pPr>
        <w:pStyle w:val="9"/>
        <w:spacing w:line="400" w:lineRule="exact"/>
        <w:ind w:firstLine="480" w:firstLineChars="200"/>
        <w:rPr>
          <w:rFonts w:ascii="宋体" w:hAnsi="宋体" w:cs="宋体"/>
          <w:bCs/>
          <w:sz w:val="24"/>
        </w:rPr>
      </w:pPr>
      <w:r>
        <w:rPr>
          <w:rFonts w:hint="eastAsia" w:ascii="宋体" w:hAnsi="宋体" w:cs="宋体"/>
          <w:bCs/>
          <w:sz w:val="24"/>
        </w:rPr>
        <w:t>4、我方为本项目提交的投标文件正本1份，副本</w:t>
      </w:r>
      <w:r>
        <w:rPr>
          <w:rFonts w:hint="eastAsia" w:ascii="宋体" w:hAnsi="宋体" w:cs="宋体"/>
          <w:sz w:val="24"/>
        </w:rPr>
        <w:t>2</w:t>
      </w:r>
      <w:r>
        <w:rPr>
          <w:rFonts w:hint="eastAsia" w:ascii="宋体" w:hAnsi="宋体" w:cs="宋体"/>
          <w:bCs/>
          <w:sz w:val="24"/>
        </w:rPr>
        <w:t>份，电子文档（光盘或U盘）1份，用于开标唱标的“开标一览表”一式一份。</w:t>
      </w:r>
    </w:p>
    <w:p>
      <w:pPr>
        <w:pStyle w:val="9"/>
        <w:spacing w:line="400" w:lineRule="exact"/>
        <w:ind w:firstLine="480" w:firstLineChars="200"/>
        <w:rPr>
          <w:rFonts w:ascii="宋体" w:hAnsi="宋体" w:cs="宋体"/>
          <w:bCs/>
          <w:sz w:val="24"/>
        </w:rPr>
      </w:pPr>
      <w:r>
        <w:rPr>
          <w:rFonts w:hint="eastAsia" w:ascii="宋体" w:hAnsi="宋体" w:cs="宋体"/>
          <w:bCs/>
          <w:sz w:val="24"/>
        </w:rPr>
        <w:t>5、我方承诺投标有效期为开标后 60天（日历日）。</w:t>
      </w:r>
    </w:p>
    <w:p>
      <w:pPr>
        <w:pStyle w:val="9"/>
        <w:spacing w:line="400" w:lineRule="exact"/>
        <w:ind w:firstLine="480" w:firstLineChars="200"/>
        <w:rPr>
          <w:rFonts w:ascii="宋体" w:hAnsi="宋体" w:cs="宋体"/>
          <w:bCs/>
          <w:sz w:val="24"/>
        </w:rPr>
      </w:pPr>
      <w:r>
        <w:rPr>
          <w:rFonts w:hint="eastAsia" w:ascii="宋体" w:hAnsi="宋体" w:cs="宋体"/>
          <w:bCs/>
          <w:sz w:val="24"/>
        </w:rPr>
        <w:t>6、我方愿意提供贵校可能另外要求的，与投标有关的文件资料，并保证我方已提供和将要提供的文件资料是真实、准确的。</w:t>
      </w:r>
    </w:p>
    <w:p>
      <w:pPr>
        <w:pStyle w:val="9"/>
        <w:spacing w:line="400" w:lineRule="exact"/>
        <w:ind w:firstLine="480" w:firstLineChars="200"/>
        <w:rPr>
          <w:rFonts w:ascii="宋体" w:hAnsi="宋体" w:cs="宋体"/>
          <w:bCs/>
          <w:sz w:val="24"/>
        </w:rPr>
      </w:pPr>
      <w:r>
        <w:rPr>
          <w:rFonts w:hint="eastAsia" w:ascii="宋体" w:hAnsi="宋体" w:cs="宋体"/>
          <w:bCs/>
          <w:sz w:val="24"/>
        </w:rPr>
        <w:t>7、我方完全理解招标人不一定将合同授予最低报价的投标人的行为。</w:t>
      </w:r>
    </w:p>
    <w:p>
      <w:pPr>
        <w:pStyle w:val="9"/>
        <w:spacing w:line="400" w:lineRule="exact"/>
        <w:ind w:firstLine="480" w:firstLineChars="200"/>
        <w:rPr>
          <w:rFonts w:ascii="宋体" w:hAnsi="宋体" w:cs="宋体"/>
          <w:bCs/>
          <w:sz w:val="24"/>
        </w:rPr>
      </w:pPr>
      <w:r>
        <w:rPr>
          <w:rFonts w:hint="eastAsia" w:ascii="宋体" w:hAnsi="宋体" w:cs="宋体"/>
          <w:bCs/>
          <w:sz w:val="24"/>
        </w:rPr>
        <w:t>投标人名称：        （盖章）</w:t>
      </w:r>
    </w:p>
    <w:p>
      <w:pPr>
        <w:pStyle w:val="9"/>
        <w:spacing w:line="400" w:lineRule="exact"/>
        <w:ind w:firstLine="480" w:firstLineChars="200"/>
        <w:rPr>
          <w:rFonts w:ascii="宋体" w:hAnsi="宋体" w:cs="宋体"/>
          <w:bCs/>
          <w:sz w:val="24"/>
        </w:rPr>
      </w:pPr>
      <w:r>
        <w:rPr>
          <w:rFonts w:hint="eastAsia" w:ascii="宋体" w:hAnsi="宋体" w:cs="宋体"/>
          <w:bCs/>
          <w:sz w:val="24"/>
        </w:rPr>
        <w:t>法定代表人或授权代表（签字）：</w:t>
      </w:r>
    </w:p>
    <w:p>
      <w:pPr>
        <w:pStyle w:val="9"/>
        <w:spacing w:line="400" w:lineRule="exact"/>
        <w:ind w:firstLine="480" w:firstLineChars="200"/>
        <w:rPr>
          <w:rFonts w:ascii="宋体" w:hAnsi="宋体" w:cs="宋体"/>
          <w:bCs/>
          <w:sz w:val="24"/>
        </w:rPr>
      </w:pPr>
      <w:r>
        <w:rPr>
          <w:rFonts w:hint="eastAsia" w:ascii="宋体" w:hAnsi="宋体" w:cs="宋体"/>
          <w:bCs/>
          <w:sz w:val="24"/>
        </w:rPr>
        <w:t>通讯地址：</w:t>
      </w:r>
    </w:p>
    <w:p>
      <w:pPr>
        <w:pStyle w:val="9"/>
        <w:spacing w:line="400" w:lineRule="exact"/>
        <w:ind w:firstLine="480" w:firstLineChars="200"/>
        <w:rPr>
          <w:rFonts w:ascii="宋体" w:hAnsi="宋体" w:cs="宋体"/>
          <w:bCs/>
          <w:sz w:val="24"/>
        </w:rPr>
      </w:pPr>
      <w:r>
        <w:rPr>
          <w:rFonts w:hint="eastAsia" w:ascii="宋体" w:hAnsi="宋体" w:cs="宋体"/>
          <w:bCs/>
          <w:sz w:val="24"/>
        </w:rPr>
        <w:t>邮政编码：</w:t>
      </w:r>
    </w:p>
    <w:p>
      <w:pPr>
        <w:pStyle w:val="9"/>
        <w:spacing w:line="400" w:lineRule="exact"/>
        <w:ind w:firstLine="480" w:firstLineChars="200"/>
        <w:rPr>
          <w:rFonts w:ascii="宋体" w:hAnsi="宋体" w:cs="宋体"/>
          <w:bCs/>
          <w:sz w:val="24"/>
        </w:rPr>
      </w:pPr>
      <w:r>
        <w:rPr>
          <w:rFonts w:hint="eastAsia" w:ascii="宋体" w:hAnsi="宋体" w:cs="宋体"/>
          <w:bCs/>
          <w:sz w:val="24"/>
        </w:rPr>
        <w:t>联系电话：</w:t>
      </w:r>
    </w:p>
    <w:p>
      <w:pPr>
        <w:pStyle w:val="9"/>
        <w:spacing w:line="400" w:lineRule="exact"/>
        <w:ind w:firstLine="480" w:firstLineChars="200"/>
        <w:rPr>
          <w:rFonts w:ascii="宋体" w:hAnsi="宋体" w:cs="宋体"/>
          <w:bCs/>
          <w:sz w:val="24"/>
        </w:rPr>
      </w:pPr>
      <w:r>
        <w:rPr>
          <w:rFonts w:hint="eastAsia" w:ascii="宋体" w:hAnsi="宋体" w:cs="宋体"/>
          <w:bCs/>
          <w:sz w:val="24"/>
        </w:rPr>
        <w:t>传    真：</w:t>
      </w:r>
    </w:p>
    <w:p>
      <w:pPr>
        <w:pStyle w:val="9"/>
        <w:spacing w:line="400" w:lineRule="exact"/>
        <w:ind w:firstLine="480" w:firstLineChars="200"/>
        <w:rPr>
          <w:rFonts w:ascii="宋体" w:hAnsi="宋体" w:cs="宋体"/>
          <w:bCs/>
          <w:sz w:val="24"/>
        </w:rPr>
      </w:pPr>
      <w:r>
        <w:rPr>
          <w:rFonts w:hint="eastAsia" w:ascii="宋体" w:hAnsi="宋体" w:cs="宋体"/>
          <w:bCs/>
          <w:sz w:val="24"/>
        </w:rPr>
        <w:t>日    期：</w:t>
      </w:r>
      <w:bookmarkStart w:id="153" w:name="_Toc217446083"/>
    </w:p>
    <w:p>
      <w:pPr>
        <w:pStyle w:val="5"/>
        <w:spacing w:line="400" w:lineRule="exact"/>
        <w:jc w:val="center"/>
        <w:rPr>
          <w:rFonts w:ascii="宋体" w:hAnsi="宋体" w:eastAsia="宋体" w:cs="宋体"/>
          <w:szCs w:val="28"/>
        </w:rPr>
      </w:pPr>
      <w:r>
        <w:rPr>
          <w:rFonts w:hint="eastAsia" w:ascii="宋体" w:hAnsi="宋体" w:eastAsia="宋体" w:cs="宋体"/>
          <w:szCs w:val="28"/>
        </w:rPr>
        <w:t>二、法定代表人授权书</w:t>
      </w:r>
      <w:bookmarkEnd w:id="153"/>
      <w:r>
        <w:rPr>
          <w:rFonts w:hint="eastAsia" w:ascii="宋体" w:hAnsi="宋体" w:eastAsia="宋体" w:cs="宋体"/>
          <w:szCs w:val="28"/>
        </w:rPr>
        <w:t>（非法定代表人投标）</w:t>
      </w:r>
    </w:p>
    <w:p>
      <w:pPr>
        <w:spacing w:line="400" w:lineRule="exact"/>
        <w:jc w:val="center"/>
        <w:rPr>
          <w:rFonts w:ascii="宋体" w:hAnsi="宋体" w:cs="宋体"/>
          <w:b/>
          <w:sz w:val="44"/>
        </w:rPr>
      </w:pPr>
    </w:p>
    <w:p>
      <w:pPr>
        <w:spacing w:line="400" w:lineRule="exact"/>
        <w:rPr>
          <w:rFonts w:ascii="宋体" w:hAnsi="宋体" w:cs="宋体"/>
          <w:sz w:val="24"/>
        </w:rPr>
      </w:pPr>
      <w:r>
        <w:rPr>
          <w:rFonts w:hint="eastAsia" w:ascii="宋体" w:hAnsi="宋体" w:cs="宋体"/>
          <w:bCs/>
          <w:sz w:val="24"/>
          <w:u w:val="single"/>
        </w:rPr>
        <w:t>重庆交通职业学院</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本授权声明：（投标人名称）（法定代表人姓名、职务）授权（被授权人姓名、职务）为我方 “</w:t>
      </w:r>
      <w:r>
        <w:rPr>
          <w:rFonts w:hint="eastAsia" w:ascii="宋体" w:hAnsi="宋体" w:cs="宋体"/>
          <w:b/>
          <w:sz w:val="24"/>
          <w:szCs w:val="28"/>
        </w:rPr>
        <w:t>重庆交通职业</w:t>
      </w:r>
      <w:r>
        <w:rPr>
          <w:rFonts w:hint="eastAsia" w:ascii="宋体" w:hAnsi="宋体" w:cs="宋体"/>
          <w:b/>
          <w:sz w:val="24"/>
          <w:szCs w:val="28"/>
          <w:lang w:val="en-US" w:eastAsia="zh-CN"/>
        </w:rPr>
        <w:t>学院数字造价实训</w:t>
      </w:r>
      <w:r>
        <w:rPr>
          <w:rFonts w:hint="eastAsia" w:ascii="宋体" w:hAnsi="宋体" w:cs="宋体"/>
          <w:b/>
          <w:sz w:val="24"/>
          <w:szCs w:val="28"/>
        </w:rPr>
        <w:t>项目</w:t>
      </w:r>
      <w:r>
        <w:rPr>
          <w:rFonts w:hint="eastAsia" w:ascii="宋体" w:hAnsi="宋体" w:cs="宋体"/>
          <w:sz w:val="24"/>
        </w:rPr>
        <w:t xml:space="preserve"> ” （招标编号）投标活动的合法代表，以我方名义全权处理该项目有关投标、签订合同以及执行合同等一切事宜。</w:t>
      </w:r>
    </w:p>
    <w:p>
      <w:pPr>
        <w:spacing w:line="400" w:lineRule="exact"/>
        <w:ind w:firstLine="480" w:firstLineChars="200"/>
        <w:rPr>
          <w:rFonts w:ascii="宋体" w:hAnsi="宋体" w:cs="宋体"/>
          <w:sz w:val="24"/>
        </w:rPr>
      </w:pPr>
      <w:r>
        <w:rPr>
          <w:rFonts w:hint="eastAsia" w:ascii="宋体" w:hAnsi="宋体" w:cs="宋体"/>
          <w:sz w:val="24"/>
        </w:rPr>
        <w:t>特此声明。</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法定代表人签字：</w:t>
      </w:r>
    </w:p>
    <w:p>
      <w:pPr>
        <w:spacing w:line="400" w:lineRule="exact"/>
        <w:ind w:firstLine="480" w:firstLineChars="200"/>
        <w:rPr>
          <w:rFonts w:ascii="宋体" w:hAnsi="宋体" w:cs="宋体"/>
          <w:sz w:val="24"/>
        </w:rPr>
      </w:pPr>
      <w:r>
        <w:rPr>
          <w:rFonts w:hint="eastAsia" w:ascii="宋体" w:hAnsi="宋体" w:cs="宋体"/>
          <w:sz w:val="24"/>
        </w:rPr>
        <w:t>授权代表签字：</w:t>
      </w:r>
    </w:p>
    <w:p>
      <w:pPr>
        <w:spacing w:line="400" w:lineRule="exact"/>
        <w:ind w:firstLine="480" w:firstLineChars="200"/>
        <w:rPr>
          <w:rFonts w:ascii="宋体" w:hAnsi="宋体" w:cs="宋体"/>
          <w:sz w:val="24"/>
        </w:rPr>
      </w:pPr>
      <w:r>
        <w:rPr>
          <w:rFonts w:hint="eastAsia" w:ascii="宋体" w:hAnsi="宋体" w:cs="宋体"/>
          <w:sz w:val="24"/>
        </w:rPr>
        <w:t>投标人名称：         （盖章）</w:t>
      </w:r>
    </w:p>
    <w:p>
      <w:pPr>
        <w:spacing w:line="400" w:lineRule="exact"/>
        <w:ind w:firstLine="480" w:firstLineChars="200"/>
        <w:rPr>
          <w:rFonts w:ascii="宋体" w:hAnsi="宋体" w:cs="宋体"/>
          <w:sz w:val="24"/>
        </w:rPr>
      </w:pPr>
      <w:r>
        <w:rPr>
          <w:rFonts w:hint="eastAsia" w:ascii="宋体" w:hAnsi="宋体" w:cs="宋体"/>
          <w:sz w:val="24"/>
        </w:rPr>
        <w:t>日    期：</w:t>
      </w:r>
    </w:p>
    <w:p>
      <w:pPr>
        <w:spacing w:line="400" w:lineRule="exact"/>
        <w:rPr>
          <w:rFonts w:ascii="宋体" w:hAnsi="宋体" w:cs="宋体"/>
          <w:sz w:val="32"/>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rPr>
          <w:rFonts w:ascii="宋体" w:hAnsi="宋体" w:cs="宋体"/>
        </w:rPr>
      </w:pPr>
    </w:p>
    <w:p>
      <w:pPr>
        <w:rPr>
          <w:rFonts w:ascii="宋体" w:hAnsi="宋体" w:cs="宋体"/>
        </w:rPr>
      </w:pPr>
      <w:bookmarkStart w:id="154" w:name="_Toc217446084"/>
    </w:p>
    <w:p>
      <w:pPr>
        <w:rPr>
          <w:rFonts w:ascii="宋体" w:hAnsi="宋体" w:cs="宋体"/>
        </w:rPr>
      </w:pPr>
    </w:p>
    <w:p>
      <w:pPr>
        <w:rPr>
          <w:rFonts w:ascii="宋体" w:hAnsi="宋体" w:cs="宋体"/>
        </w:rPr>
      </w:pPr>
    </w:p>
    <w:p>
      <w:pPr>
        <w:rPr>
          <w:rFonts w:ascii="宋体" w:hAnsi="宋体" w:cs="宋体"/>
        </w:rPr>
      </w:pPr>
    </w:p>
    <w:bookmarkEnd w:id="100"/>
    <w:bookmarkEnd w:id="154"/>
    <w:p>
      <w:pPr>
        <w:spacing w:line="400" w:lineRule="exact"/>
        <w:rPr>
          <w:rFonts w:ascii="宋体" w:hAnsi="宋体" w:cs="宋体"/>
          <w:sz w:val="32"/>
        </w:rPr>
      </w:pPr>
    </w:p>
    <w:p>
      <w:pPr>
        <w:spacing w:line="400" w:lineRule="exact"/>
        <w:outlineLvl w:val="1"/>
        <w:rPr>
          <w:rFonts w:ascii="宋体" w:hAnsi="宋体" w:cs="宋体"/>
          <w:b/>
          <w:sz w:val="32"/>
        </w:rPr>
      </w:pPr>
      <w:bookmarkStart w:id="155" w:name="_Toc217446085"/>
    </w:p>
    <w:p>
      <w:pPr>
        <w:spacing w:line="400" w:lineRule="exact"/>
        <w:outlineLvl w:val="1"/>
        <w:rPr>
          <w:rFonts w:ascii="宋体" w:hAnsi="宋体" w:cs="宋体"/>
          <w:b/>
          <w:sz w:val="32"/>
        </w:rPr>
      </w:pPr>
    </w:p>
    <w:p>
      <w:pPr>
        <w:pStyle w:val="5"/>
        <w:spacing w:line="400" w:lineRule="exact"/>
        <w:jc w:val="center"/>
        <w:rPr>
          <w:rFonts w:ascii="宋体" w:hAnsi="宋体" w:eastAsia="宋体" w:cs="宋体"/>
          <w:bCs w:val="0"/>
          <w:szCs w:val="28"/>
        </w:rPr>
      </w:pPr>
      <w:r>
        <w:rPr>
          <w:rFonts w:hint="eastAsia" w:ascii="宋体" w:hAnsi="宋体" w:eastAsia="宋体" w:cs="宋体"/>
          <w:bCs w:val="0"/>
          <w:szCs w:val="28"/>
        </w:rPr>
        <w:t>三、开标一览表</w:t>
      </w:r>
      <w:bookmarkEnd w:id="155"/>
    </w:p>
    <w:p>
      <w:pPr>
        <w:spacing w:line="400" w:lineRule="exact"/>
        <w:rPr>
          <w:rFonts w:ascii="宋体" w:hAnsi="宋体" w:cs="宋体"/>
          <w:sz w:val="28"/>
        </w:rPr>
      </w:pPr>
    </w:p>
    <w:p>
      <w:pPr>
        <w:spacing w:line="360" w:lineRule="auto"/>
        <w:rPr>
          <w:rFonts w:ascii="宋体" w:hAnsi="宋体" w:cs="宋体"/>
          <w:sz w:val="28"/>
        </w:rPr>
      </w:pPr>
      <w:bookmarkStart w:id="156" w:name="PO_默认文件内容_9"/>
      <w:r>
        <w:rPr>
          <w:rFonts w:hint="eastAsia" w:ascii="宋体" w:hAnsi="宋体" w:cs="宋体"/>
          <w:sz w:val="28"/>
        </w:rPr>
        <w:t xml:space="preserve">招标编号：  </w:t>
      </w:r>
    </w:p>
    <w:p>
      <w:pPr>
        <w:spacing w:line="360" w:lineRule="auto"/>
        <w:rPr>
          <w:rFonts w:ascii="宋体" w:hAnsi="宋体" w:cs="宋体"/>
          <w:sz w:val="28"/>
        </w:rPr>
      </w:pPr>
      <w:r>
        <w:rPr>
          <w:rFonts w:hint="eastAsia" w:ascii="宋体" w:hAnsi="宋体" w:cs="宋体"/>
          <w:sz w:val="28"/>
        </w:rPr>
        <w:t xml:space="preserve">包号：                                       </w:t>
      </w:r>
    </w:p>
    <w:tbl>
      <w:tblPr>
        <w:tblStyle w:val="14"/>
        <w:tblW w:w="10185"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26"/>
        <w:gridCol w:w="1619"/>
        <w:gridCol w:w="840"/>
        <w:gridCol w:w="1260"/>
        <w:gridCol w:w="1438"/>
        <w:gridCol w:w="1502"/>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宋体" w:hAnsi="宋体" w:cs="宋体"/>
                <w:sz w:val="24"/>
              </w:rPr>
            </w:pPr>
            <w:r>
              <w:rPr>
                <w:rFonts w:hint="eastAsia" w:ascii="宋体" w:hAnsi="宋体" w:cs="宋体"/>
                <w:sz w:val="24"/>
              </w:rPr>
              <w:t>序号</w:t>
            </w:r>
          </w:p>
        </w:tc>
        <w:tc>
          <w:tcPr>
            <w:tcW w:w="1426" w:type="dxa"/>
            <w:vAlign w:val="center"/>
          </w:tcPr>
          <w:p>
            <w:pPr>
              <w:spacing w:line="400" w:lineRule="exact"/>
              <w:jc w:val="center"/>
              <w:rPr>
                <w:rFonts w:ascii="宋体" w:hAnsi="宋体" w:cs="宋体"/>
                <w:sz w:val="24"/>
              </w:rPr>
            </w:pPr>
            <w:r>
              <w:rPr>
                <w:rFonts w:hint="eastAsia" w:ascii="宋体" w:hAnsi="宋体" w:cs="宋体"/>
                <w:sz w:val="24"/>
              </w:rPr>
              <w:t>设备名称</w:t>
            </w:r>
          </w:p>
        </w:tc>
        <w:tc>
          <w:tcPr>
            <w:tcW w:w="1619" w:type="dxa"/>
            <w:vAlign w:val="center"/>
          </w:tcPr>
          <w:p>
            <w:pPr>
              <w:spacing w:line="400" w:lineRule="exact"/>
              <w:jc w:val="center"/>
              <w:rPr>
                <w:rFonts w:ascii="宋体" w:hAnsi="宋体" w:cs="宋体"/>
                <w:sz w:val="24"/>
              </w:rPr>
            </w:pPr>
            <w:r>
              <w:rPr>
                <w:rFonts w:hint="eastAsia" w:ascii="宋体" w:hAnsi="宋体" w:cs="宋体"/>
                <w:sz w:val="24"/>
              </w:rPr>
              <w:t>制造商家及规格型号</w:t>
            </w:r>
          </w:p>
          <w:p>
            <w:pPr>
              <w:spacing w:line="400" w:lineRule="exact"/>
              <w:jc w:val="center"/>
              <w:rPr>
                <w:rFonts w:ascii="宋体" w:hAnsi="宋体" w:cs="宋体"/>
                <w:sz w:val="24"/>
              </w:rPr>
            </w:pPr>
            <w:r>
              <w:rPr>
                <w:rFonts w:hint="eastAsia" w:ascii="宋体" w:hAnsi="宋体" w:cs="宋体"/>
                <w:sz w:val="24"/>
              </w:rPr>
              <w:t>（中文）</w:t>
            </w:r>
          </w:p>
        </w:tc>
        <w:tc>
          <w:tcPr>
            <w:tcW w:w="840" w:type="dxa"/>
            <w:vAlign w:val="center"/>
          </w:tcPr>
          <w:p>
            <w:pPr>
              <w:spacing w:line="400" w:lineRule="exact"/>
              <w:jc w:val="center"/>
              <w:rPr>
                <w:rFonts w:ascii="宋体" w:hAnsi="宋体" w:cs="宋体"/>
                <w:sz w:val="24"/>
              </w:rPr>
            </w:pPr>
            <w:r>
              <w:rPr>
                <w:rFonts w:hint="eastAsia" w:ascii="宋体" w:hAnsi="宋体" w:cs="宋体"/>
                <w:sz w:val="24"/>
              </w:rPr>
              <w:t>数量</w:t>
            </w:r>
          </w:p>
        </w:tc>
        <w:tc>
          <w:tcPr>
            <w:tcW w:w="1260" w:type="dxa"/>
            <w:vAlign w:val="center"/>
          </w:tcPr>
          <w:p>
            <w:pPr>
              <w:spacing w:line="400" w:lineRule="exact"/>
              <w:rPr>
                <w:rFonts w:ascii="宋体" w:hAnsi="宋体" w:cs="宋体"/>
                <w:sz w:val="24"/>
              </w:rPr>
            </w:pPr>
            <w:r>
              <w:rPr>
                <w:rFonts w:hint="eastAsia" w:ascii="宋体" w:hAnsi="宋体" w:cs="宋体"/>
                <w:sz w:val="24"/>
              </w:rPr>
              <w:t>投标单价</w:t>
            </w:r>
          </w:p>
          <w:p>
            <w:pPr>
              <w:spacing w:line="400" w:lineRule="exact"/>
              <w:jc w:val="center"/>
              <w:rPr>
                <w:rFonts w:ascii="宋体" w:hAnsi="宋体" w:cs="宋体"/>
                <w:sz w:val="24"/>
              </w:rPr>
            </w:pPr>
            <w:r>
              <w:rPr>
                <w:rFonts w:hint="eastAsia" w:ascii="宋体" w:hAnsi="宋体" w:cs="宋体"/>
                <w:sz w:val="24"/>
              </w:rPr>
              <w:t>（万元）</w:t>
            </w:r>
          </w:p>
        </w:tc>
        <w:tc>
          <w:tcPr>
            <w:tcW w:w="1438" w:type="dxa"/>
            <w:vAlign w:val="center"/>
          </w:tcPr>
          <w:p>
            <w:pPr>
              <w:spacing w:line="400" w:lineRule="exact"/>
              <w:jc w:val="center"/>
              <w:rPr>
                <w:rFonts w:ascii="宋体" w:hAnsi="宋体" w:cs="宋体"/>
                <w:sz w:val="24"/>
              </w:rPr>
            </w:pPr>
            <w:r>
              <w:rPr>
                <w:rFonts w:hint="eastAsia" w:ascii="宋体" w:hAnsi="宋体" w:cs="宋体"/>
                <w:sz w:val="24"/>
              </w:rPr>
              <w:t>投标总价</w:t>
            </w:r>
          </w:p>
          <w:p>
            <w:pPr>
              <w:spacing w:line="400" w:lineRule="exact"/>
              <w:rPr>
                <w:rFonts w:ascii="宋体" w:hAnsi="宋体" w:cs="宋体"/>
                <w:sz w:val="24"/>
              </w:rPr>
            </w:pPr>
            <w:r>
              <w:rPr>
                <w:rFonts w:hint="eastAsia" w:ascii="宋体" w:hAnsi="宋体" w:cs="宋体"/>
                <w:sz w:val="24"/>
              </w:rPr>
              <w:t xml:space="preserve"> （万元）</w:t>
            </w:r>
          </w:p>
        </w:tc>
        <w:tc>
          <w:tcPr>
            <w:tcW w:w="1502" w:type="dxa"/>
            <w:vAlign w:val="center"/>
          </w:tcPr>
          <w:p>
            <w:pPr>
              <w:spacing w:line="400" w:lineRule="exact"/>
              <w:ind w:firstLine="120" w:firstLineChars="50"/>
              <w:rPr>
                <w:rFonts w:ascii="宋体" w:hAnsi="宋体" w:cs="宋体"/>
                <w:sz w:val="24"/>
              </w:rPr>
            </w:pPr>
            <w:r>
              <w:rPr>
                <w:rFonts w:hint="eastAsia" w:ascii="宋体" w:hAnsi="宋体" w:cs="宋体"/>
                <w:sz w:val="24"/>
              </w:rPr>
              <w:t>交货时间</w:t>
            </w:r>
          </w:p>
        </w:tc>
        <w:tc>
          <w:tcPr>
            <w:tcW w:w="1470" w:type="dxa"/>
            <w:vAlign w:val="center"/>
          </w:tcPr>
          <w:p>
            <w:pPr>
              <w:spacing w:line="400" w:lineRule="exact"/>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宋体" w:hAnsi="宋体" w:cs="宋体"/>
                <w:sz w:val="44"/>
              </w:rPr>
            </w:pPr>
          </w:p>
        </w:tc>
        <w:tc>
          <w:tcPr>
            <w:tcW w:w="1426" w:type="dxa"/>
            <w:vAlign w:val="center"/>
          </w:tcPr>
          <w:p>
            <w:pPr>
              <w:spacing w:line="400" w:lineRule="exact"/>
              <w:jc w:val="center"/>
              <w:rPr>
                <w:rFonts w:ascii="宋体" w:hAnsi="宋体" w:cs="宋体"/>
                <w:sz w:val="28"/>
              </w:rPr>
            </w:pPr>
          </w:p>
        </w:tc>
        <w:tc>
          <w:tcPr>
            <w:tcW w:w="1619" w:type="dxa"/>
            <w:vAlign w:val="center"/>
          </w:tcPr>
          <w:p>
            <w:pPr>
              <w:spacing w:line="400" w:lineRule="exact"/>
              <w:jc w:val="center"/>
              <w:rPr>
                <w:rFonts w:ascii="宋体" w:hAnsi="宋体" w:cs="宋体"/>
                <w:sz w:val="28"/>
              </w:rPr>
            </w:pPr>
          </w:p>
        </w:tc>
        <w:tc>
          <w:tcPr>
            <w:tcW w:w="840" w:type="dxa"/>
            <w:vAlign w:val="center"/>
          </w:tcPr>
          <w:p>
            <w:pPr>
              <w:spacing w:line="400" w:lineRule="exact"/>
              <w:jc w:val="center"/>
              <w:rPr>
                <w:rFonts w:ascii="宋体" w:hAnsi="宋体" w:cs="宋体"/>
                <w:sz w:val="28"/>
              </w:rPr>
            </w:pPr>
          </w:p>
        </w:tc>
        <w:tc>
          <w:tcPr>
            <w:tcW w:w="1260" w:type="dxa"/>
            <w:vAlign w:val="center"/>
          </w:tcPr>
          <w:p>
            <w:pPr>
              <w:spacing w:line="400" w:lineRule="exact"/>
              <w:jc w:val="center"/>
              <w:rPr>
                <w:rFonts w:ascii="宋体" w:hAnsi="宋体" w:cs="宋体"/>
                <w:sz w:val="28"/>
              </w:rPr>
            </w:pPr>
          </w:p>
        </w:tc>
        <w:tc>
          <w:tcPr>
            <w:tcW w:w="1438" w:type="dxa"/>
            <w:vAlign w:val="center"/>
          </w:tcPr>
          <w:p>
            <w:pPr>
              <w:spacing w:line="400" w:lineRule="exact"/>
              <w:jc w:val="center"/>
              <w:rPr>
                <w:rFonts w:ascii="宋体" w:hAnsi="宋体" w:cs="宋体"/>
                <w:sz w:val="28"/>
              </w:rPr>
            </w:pPr>
          </w:p>
        </w:tc>
        <w:tc>
          <w:tcPr>
            <w:tcW w:w="1502" w:type="dxa"/>
            <w:vAlign w:val="center"/>
          </w:tcPr>
          <w:p>
            <w:pPr>
              <w:spacing w:line="400" w:lineRule="exact"/>
              <w:jc w:val="center"/>
              <w:rPr>
                <w:rFonts w:ascii="宋体" w:hAnsi="宋体" w:cs="宋体"/>
                <w:sz w:val="28"/>
              </w:rPr>
            </w:pPr>
          </w:p>
        </w:tc>
        <w:tc>
          <w:tcPr>
            <w:tcW w:w="1470" w:type="dxa"/>
            <w:vAlign w:val="center"/>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宋体" w:hAnsi="宋体" w:cs="宋体"/>
                <w:sz w:val="44"/>
              </w:rPr>
            </w:pPr>
          </w:p>
        </w:tc>
        <w:tc>
          <w:tcPr>
            <w:tcW w:w="1426" w:type="dxa"/>
            <w:vAlign w:val="center"/>
          </w:tcPr>
          <w:p>
            <w:pPr>
              <w:spacing w:line="400" w:lineRule="exact"/>
              <w:jc w:val="center"/>
              <w:rPr>
                <w:rFonts w:ascii="宋体" w:hAnsi="宋体" w:cs="宋体"/>
                <w:sz w:val="28"/>
              </w:rPr>
            </w:pPr>
          </w:p>
        </w:tc>
        <w:tc>
          <w:tcPr>
            <w:tcW w:w="1619" w:type="dxa"/>
            <w:vAlign w:val="center"/>
          </w:tcPr>
          <w:p>
            <w:pPr>
              <w:spacing w:line="400" w:lineRule="exact"/>
              <w:jc w:val="center"/>
              <w:rPr>
                <w:rFonts w:ascii="宋体" w:hAnsi="宋体" w:cs="宋体"/>
                <w:sz w:val="28"/>
              </w:rPr>
            </w:pPr>
          </w:p>
        </w:tc>
        <w:tc>
          <w:tcPr>
            <w:tcW w:w="840" w:type="dxa"/>
            <w:vAlign w:val="center"/>
          </w:tcPr>
          <w:p>
            <w:pPr>
              <w:spacing w:line="400" w:lineRule="exact"/>
              <w:jc w:val="center"/>
              <w:rPr>
                <w:rFonts w:ascii="宋体" w:hAnsi="宋体" w:cs="宋体"/>
                <w:sz w:val="28"/>
              </w:rPr>
            </w:pPr>
          </w:p>
        </w:tc>
        <w:tc>
          <w:tcPr>
            <w:tcW w:w="1260" w:type="dxa"/>
            <w:vAlign w:val="center"/>
          </w:tcPr>
          <w:p>
            <w:pPr>
              <w:spacing w:line="400" w:lineRule="exact"/>
              <w:jc w:val="center"/>
              <w:rPr>
                <w:rFonts w:ascii="宋体" w:hAnsi="宋体" w:cs="宋体"/>
                <w:sz w:val="28"/>
              </w:rPr>
            </w:pPr>
          </w:p>
        </w:tc>
        <w:tc>
          <w:tcPr>
            <w:tcW w:w="1438" w:type="dxa"/>
            <w:vAlign w:val="center"/>
          </w:tcPr>
          <w:p>
            <w:pPr>
              <w:spacing w:line="400" w:lineRule="exact"/>
              <w:jc w:val="center"/>
              <w:rPr>
                <w:rFonts w:ascii="宋体" w:hAnsi="宋体" w:cs="宋体"/>
                <w:sz w:val="28"/>
              </w:rPr>
            </w:pPr>
          </w:p>
        </w:tc>
        <w:tc>
          <w:tcPr>
            <w:tcW w:w="1502" w:type="dxa"/>
            <w:vAlign w:val="center"/>
          </w:tcPr>
          <w:p>
            <w:pPr>
              <w:spacing w:line="400" w:lineRule="exact"/>
              <w:jc w:val="center"/>
              <w:rPr>
                <w:rFonts w:ascii="宋体" w:hAnsi="宋体" w:cs="宋体"/>
                <w:sz w:val="28"/>
              </w:rPr>
            </w:pPr>
          </w:p>
        </w:tc>
        <w:tc>
          <w:tcPr>
            <w:tcW w:w="1470" w:type="dxa"/>
            <w:vAlign w:val="center"/>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宋体" w:hAnsi="宋体" w:cs="宋体"/>
                <w:sz w:val="44"/>
              </w:rPr>
            </w:pPr>
          </w:p>
        </w:tc>
        <w:tc>
          <w:tcPr>
            <w:tcW w:w="1426" w:type="dxa"/>
            <w:vAlign w:val="center"/>
          </w:tcPr>
          <w:p>
            <w:pPr>
              <w:spacing w:line="400" w:lineRule="exact"/>
              <w:jc w:val="center"/>
              <w:rPr>
                <w:rFonts w:ascii="宋体" w:hAnsi="宋体" w:cs="宋体"/>
                <w:sz w:val="28"/>
              </w:rPr>
            </w:pPr>
          </w:p>
        </w:tc>
        <w:tc>
          <w:tcPr>
            <w:tcW w:w="1619" w:type="dxa"/>
            <w:vAlign w:val="center"/>
          </w:tcPr>
          <w:p>
            <w:pPr>
              <w:spacing w:line="400" w:lineRule="exact"/>
              <w:jc w:val="center"/>
              <w:rPr>
                <w:rFonts w:ascii="宋体" w:hAnsi="宋体" w:cs="宋体"/>
                <w:sz w:val="28"/>
              </w:rPr>
            </w:pPr>
          </w:p>
        </w:tc>
        <w:tc>
          <w:tcPr>
            <w:tcW w:w="840" w:type="dxa"/>
            <w:vAlign w:val="center"/>
          </w:tcPr>
          <w:p>
            <w:pPr>
              <w:spacing w:line="400" w:lineRule="exact"/>
              <w:jc w:val="center"/>
              <w:rPr>
                <w:rFonts w:ascii="宋体" w:hAnsi="宋体" w:cs="宋体"/>
                <w:sz w:val="28"/>
              </w:rPr>
            </w:pPr>
          </w:p>
        </w:tc>
        <w:tc>
          <w:tcPr>
            <w:tcW w:w="1260" w:type="dxa"/>
            <w:vAlign w:val="center"/>
          </w:tcPr>
          <w:p>
            <w:pPr>
              <w:spacing w:line="400" w:lineRule="exact"/>
              <w:jc w:val="center"/>
              <w:rPr>
                <w:rFonts w:ascii="宋体" w:hAnsi="宋体" w:cs="宋体"/>
                <w:sz w:val="28"/>
              </w:rPr>
            </w:pPr>
          </w:p>
        </w:tc>
        <w:tc>
          <w:tcPr>
            <w:tcW w:w="1438" w:type="dxa"/>
            <w:vAlign w:val="center"/>
          </w:tcPr>
          <w:p>
            <w:pPr>
              <w:spacing w:line="400" w:lineRule="exact"/>
              <w:jc w:val="center"/>
              <w:rPr>
                <w:rFonts w:ascii="宋体" w:hAnsi="宋体" w:cs="宋体"/>
                <w:sz w:val="28"/>
              </w:rPr>
            </w:pPr>
          </w:p>
        </w:tc>
        <w:tc>
          <w:tcPr>
            <w:tcW w:w="1502" w:type="dxa"/>
            <w:vAlign w:val="center"/>
          </w:tcPr>
          <w:p>
            <w:pPr>
              <w:spacing w:line="400" w:lineRule="exact"/>
              <w:jc w:val="center"/>
              <w:rPr>
                <w:rFonts w:ascii="宋体" w:hAnsi="宋体" w:cs="宋体"/>
                <w:sz w:val="28"/>
              </w:rPr>
            </w:pPr>
          </w:p>
        </w:tc>
        <w:tc>
          <w:tcPr>
            <w:tcW w:w="1470" w:type="dxa"/>
            <w:vAlign w:val="center"/>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185" w:type="dxa"/>
            <w:gridSpan w:val="8"/>
          </w:tcPr>
          <w:p>
            <w:pPr>
              <w:spacing w:line="400" w:lineRule="exact"/>
              <w:rPr>
                <w:rFonts w:ascii="宋体" w:hAnsi="宋体" w:cs="宋体"/>
                <w:sz w:val="24"/>
              </w:rPr>
            </w:pPr>
            <w:r>
              <w:rPr>
                <w:rFonts w:hint="eastAsia" w:ascii="宋体" w:hAnsi="宋体" w:cs="宋体"/>
                <w:sz w:val="24"/>
              </w:rPr>
              <w:t>报价合计（万元）：          大写：</w:t>
            </w:r>
            <w:r>
              <w:rPr>
                <w:rFonts w:hint="eastAsia" w:ascii="宋体" w:hAnsi="宋体" w:cs="宋体"/>
                <w:b/>
                <w:bCs/>
                <w:sz w:val="24"/>
              </w:rPr>
              <w:t>（含1%增值税</w:t>
            </w:r>
            <w:r>
              <w:rPr>
                <w:rFonts w:hint="eastAsia" w:ascii="宋体" w:hAnsi="宋体" w:cs="宋体"/>
                <w:b/>
                <w:bCs/>
                <w:sz w:val="24"/>
                <w:lang w:eastAsia="zh-CN"/>
              </w:rPr>
              <w:t>普通发票</w:t>
            </w:r>
            <w:r>
              <w:rPr>
                <w:rFonts w:hint="eastAsia" w:ascii="宋体" w:hAnsi="宋体" w:cs="宋体"/>
                <w:b/>
                <w:bCs/>
                <w:sz w:val="24"/>
              </w:rPr>
              <w:t>）</w:t>
            </w:r>
          </w:p>
        </w:tc>
      </w:tr>
    </w:tbl>
    <w:p>
      <w:pPr>
        <w:spacing w:line="400" w:lineRule="exact"/>
        <w:ind w:left="840" w:hanging="840" w:hangingChars="350"/>
        <w:jc w:val="left"/>
        <w:rPr>
          <w:rFonts w:ascii="宋体" w:hAnsi="宋体" w:cs="宋体"/>
          <w:sz w:val="24"/>
        </w:rPr>
      </w:pPr>
      <w:r>
        <w:rPr>
          <w:rFonts w:hint="eastAsia" w:ascii="宋体" w:hAnsi="宋体" w:cs="宋体"/>
          <w:sz w:val="24"/>
        </w:rPr>
        <w:t xml:space="preserve">注：1. 报价应是最终用户验收合格后的总价，包括设备运输、保险、代理、安装调试、培训、税费、系统集成费用、吊车费和招标文件规定的其它费用。 </w:t>
      </w:r>
    </w:p>
    <w:p>
      <w:pPr>
        <w:spacing w:line="400" w:lineRule="exact"/>
        <w:ind w:left="807" w:leftChars="213" w:hanging="360" w:hangingChars="150"/>
        <w:rPr>
          <w:rFonts w:ascii="宋体" w:hAnsi="宋体" w:cs="宋体"/>
          <w:sz w:val="24"/>
        </w:rPr>
      </w:pPr>
      <w:r>
        <w:rPr>
          <w:rFonts w:hint="eastAsia" w:ascii="宋体" w:hAnsi="宋体" w:cs="宋体"/>
          <w:sz w:val="24"/>
        </w:rPr>
        <w:t>2.“开标一览表”以包为单位填写。</w:t>
      </w:r>
    </w:p>
    <w:p>
      <w:pPr>
        <w:spacing w:line="400" w:lineRule="exact"/>
        <w:ind w:firstLine="480" w:firstLineChars="200"/>
        <w:jc w:val="left"/>
        <w:rPr>
          <w:rFonts w:ascii="宋体" w:hAnsi="宋体" w:cs="宋体"/>
          <w:sz w:val="24"/>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480" w:firstLineChars="200"/>
        <w:jc w:val="left"/>
        <w:rPr>
          <w:rFonts w:ascii="宋体" w:hAnsi="宋体" w:cs="宋体"/>
          <w:sz w:val="24"/>
        </w:rPr>
      </w:pPr>
      <w:r>
        <w:rPr>
          <w:rFonts w:hint="eastAsia" w:ascii="宋体" w:hAnsi="宋体" w:cs="宋体"/>
          <w:sz w:val="24"/>
        </w:rPr>
        <w:t>法定代表人或授权代表（签字）：</w:t>
      </w:r>
    </w:p>
    <w:p>
      <w:pPr>
        <w:adjustRightInd w:val="0"/>
        <w:spacing w:line="400" w:lineRule="exact"/>
        <w:ind w:firstLine="480" w:firstLineChars="200"/>
        <w:jc w:val="left"/>
        <w:rPr>
          <w:rFonts w:ascii="宋体" w:hAnsi="宋体" w:cs="宋体"/>
          <w:sz w:val="24"/>
        </w:rPr>
        <w:sectPr>
          <w:pgSz w:w="11907" w:h="16840"/>
          <w:pgMar w:top="1440" w:right="1474" w:bottom="1440" w:left="1474" w:header="851" w:footer="992" w:gutter="0"/>
          <w:cols w:space="720" w:num="1"/>
          <w:docGrid w:linePitch="312" w:charSpace="0"/>
        </w:sectPr>
      </w:pPr>
      <w:r>
        <w:rPr>
          <w:rFonts w:hint="eastAsia" w:ascii="宋体" w:hAnsi="宋体" w:cs="宋体"/>
          <w:sz w:val="24"/>
        </w:rPr>
        <w:t>投标日期：</w:t>
      </w:r>
    </w:p>
    <w:bookmarkEnd w:id="156"/>
    <w:p>
      <w:pPr>
        <w:pStyle w:val="5"/>
        <w:spacing w:line="400" w:lineRule="exact"/>
        <w:jc w:val="center"/>
        <w:rPr>
          <w:rFonts w:ascii="宋体" w:hAnsi="宋体" w:eastAsia="宋体" w:cs="宋体"/>
          <w:bCs w:val="0"/>
          <w:szCs w:val="28"/>
        </w:rPr>
      </w:pPr>
      <w:bookmarkStart w:id="157" w:name="_Toc217446086"/>
      <w:bookmarkStart w:id="158" w:name="PO_默认文件内容_10"/>
      <w:r>
        <w:rPr>
          <w:rFonts w:hint="eastAsia" w:ascii="宋体" w:hAnsi="宋体" w:eastAsia="宋体" w:cs="宋体"/>
          <w:bCs w:val="0"/>
          <w:szCs w:val="28"/>
        </w:rPr>
        <w:t>四、分项报价明细表</w:t>
      </w:r>
      <w:bookmarkEnd w:id="157"/>
    </w:p>
    <w:p>
      <w:pPr>
        <w:spacing w:line="360" w:lineRule="auto"/>
        <w:rPr>
          <w:rFonts w:ascii="宋体" w:hAnsi="宋体" w:cs="宋体"/>
          <w:sz w:val="28"/>
        </w:rPr>
      </w:pPr>
      <w:r>
        <w:rPr>
          <w:rFonts w:hint="eastAsia" w:ascii="宋体" w:hAnsi="宋体" w:cs="宋体"/>
          <w:sz w:val="28"/>
        </w:rPr>
        <w:t xml:space="preserve">招标编号：                                         </w:t>
      </w:r>
    </w:p>
    <w:p>
      <w:pPr>
        <w:spacing w:line="360" w:lineRule="auto"/>
        <w:rPr>
          <w:rFonts w:ascii="宋体" w:hAnsi="宋体" w:cs="宋体"/>
          <w:sz w:val="28"/>
        </w:rPr>
      </w:pPr>
      <w:r>
        <w:rPr>
          <w:rFonts w:hint="eastAsia" w:ascii="宋体" w:hAnsi="宋体" w:cs="宋体"/>
          <w:sz w:val="28"/>
        </w:rPr>
        <w:t>包号：</w:t>
      </w:r>
    </w:p>
    <w:tbl>
      <w:tblPr>
        <w:tblStyle w:val="14"/>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273"/>
        <w:gridCol w:w="1367"/>
        <w:gridCol w:w="1048"/>
        <w:gridCol w:w="840"/>
        <w:gridCol w:w="840"/>
        <w:gridCol w:w="840"/>
        <w:gridCol w:w="94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exact"/>
          <w:jc w:val="center"/>
        </w:trPr>
        <w:tc>
          <w:tcPr>
            <w:tcW w:w="880" w:type="dxa"/>
            <w:vAlign w:val="center"/>
          </w:tcPr>
          <w:p>
            <w:pPr>
              <w:spacing w:line="400" w:lineRule="exact"/>
              <w:jc w:val="center"/>
              <w:rPr>
                <w:rFonts w:ascii="宋体" w:hAnsi="宋体" w:cs="宋体"/>
                <w:sz w:val="24"/>
                <w:szCs w:val="22"/>
              </w:rPr>
            </w:pPr>
            <w:r>
              <w:rPr>
                <w:rFonts w:hint="eastAsia" w:ascii="宋体" w:hAnsi="宋体" w:cs="宋体"/>
                <w:sz w:val="24"/>
                <w:szCs w:val="22"/>
              </w:rPr>
              <w:t>序号</w:t>
            </w:r>
          </w:p>
        </w:tc>
        <w:tc>
          <w:tcPr>
            <w:tcW w:w="1273" w:type="dxa"/>
            <w:vAlign w:val="center"/>
          </w:tcPr>
          <w:p>
            <w:pPr>
              <w:spacing w:line="400" w:lineRule="exact"/>
              <w:jc w:val="center"/>
              <w:rPr>
                <w:rFonts w:ascii="宋体" w:hAnsi="宋体" w:cs="宋体"/>
                <w:sz w:val="24"/>
                <w:szCs w:val="22"/>
              </w:rPr>
            </w:pPr>
            <w:r>
              <w:rPr>
                <w:rFonts w:hint="eastAsia" w:ascii="宋体" w:hAnsi="宋体" w:cs="宋体"/>
                <w:sz w:val="24"/>
                <w:szCs w:val="22"/>
              </w:rPr>
              <w:t>产品名称</w:t>
            </w:r>
          </w:p>
        </w:tc>
        <w:tc>
          <w:tcPr>
            <w:tcW w:w="1367" w:type="dxa"/>
            <w:vAlign w:val="center"/>
          </w:tcPr>
          <w:p>
            <w:pPr>
              <w:spacing w:line="400" w:lineRule="exact"/>
              <w:jc w:val="center"/>
              <w:rPr>
                <w:rFonts w:ascii="宋体" w:hAnsi="宋体" w:cs="宋体"/>
                <w:sz w:val="24"/>
                <w:szCs w:val="22"/>
              </w:rPr>
            </w:pPr>
            <w:r>
              <w:rPr>
                <w:rFonts w:hint="eastAsia" w:ascii="宋体" w:hAnsi="宋体" w:cs="宋体"/>
                <w:sz w:val="24"/>
                <w:szCs w:val="22"/>
              </w:rPr>
              <w:t>规格型号</w:t>
            </w:r>
          </w:p>
        </w:tc>
        <w:tc>
          <w:tcPr>
            <w:tcW w:w="1048" w:type="dxa"/>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品牌</w:t>
            </w:r>
          </w:p>
        </w:tc>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单位</w:t>
            </w:r>
          </w:p>
        </w:tc>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数量</w:t>
            </w:r>
          </w:p>
        </w:tc>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单价</w:t>
            </w:r>
          </w:p>
        </w:tc>
        <w:tc>
          <w:tcPr>
            <w:tcW w:w="945" w:type="dxa"/>
            <w:vAlign w:val="center"/>
          </w:tcPr>
          <w:p>
            <w:pPr>
              <w:spacing w:line="400" w:lineRule="exact"/>
              <w:jc w:val="center"/>
              <w:rPr>
                <w:rFonts w:ascii="宋体" w:hAnsi="宋体" w:cs="宋体"/>
                <w:sz w:val="24"/>
                <w:szCs w:val="22"/>
              </w:rPr>
            </w:pPr>
            <w:r>
              <w:rPr>
                <w:rFonts w:hint="eastAsia" w:ascii="宋体" w:hAnsi="宋体" w:cs="宋体"/>
                <w:sz w:val="24"/>
                <w:szCs w:val="22"/>
              </w:rPr>
              <w:t>金额</w:t>
            </w:r>
          </w:p>
        </w:tc>
        <w:tc>
          <w:tcPr>
            <w:tcW w:w="1242" w:type="dxa"/>
            <w:vAlign w:val="center"/>
          </w:tcPr>
          <w:p>
            <w:pPr>
              <w:spacing w:line="400" w:lineRule="exact"/>
              <w:jc w:val="center"/>
              <w:rPr>
                <w:rFonts w:ascii="宋体" w:hAnsi="宋体" w:cs="宋体"/>
                <w:sz w:val="24"/>
                <w:szCs w:val="22"/>
              </w:rPr>
            </w:pPr>
            <w:r>
              <w:rPr>
                <w:rFonts w:hint="eastAsia" w:ascii="宋体" w:hAnsi="宋体" w:cs="宋体"/>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6208" w:type="dxa"/>
            <w:gridSpan w:val="6"/>
            <w:vAlign w:val="center"/>
          </w:tcPr>
          <w:p>
            <w:pPr>
              <w:snapToGrid w:val="0"/>
              <w:spacing w:line="400" w:lineRule="exact"/>
              <w:ind w:firstLine="600" w:firstLineChars="250"/>
              <w:rPr>
                <w:rFonts w:ascii="宋体" w:hAnsi="宋体" w:cs="宋体"/>
                <w:sz w:val="24"/>
              </w:rPr>
            </w:pPr>
            <w:r>
              <w:rPr>
                <w:rFonts w:hint="eastAsia" w:ascii="宋体" w:hAnsi="宋体" w:cs="宋体"/>
                <w:sz w:val="24"/>
              </w:rPr>
              <w:t>分项报价合计（万元）</w:t>
            </w:r>
          </w:p>
        </w:tc>
        <w:tc>
          <w:tcPr>
            <w:tcW w:w="945" w:type="dxa"/>
            <w:vAlign w:val="center"/>
          </w:tcPr>
          <w:p>
            <w:pPr>
              <w:snapToGrid w:val="0"/>
              <w:spacing w:line="400" w:lineRule="exact"/>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bl>
    <w:p>
      <w:pPr>
        <w:spacing w:line="400" w:lineRule="exact"/>
        <w:ind w:left="840" w:hanging="840" w:hangingChars="350"/>
        <w:rPr>
          <w:rFonts w:ascii="宋体" w:hAnsi="宋体" w:cs="宋体"/>
          <w:bCs/>
          <w:sz w:val="24"/>
        </w:rPr>
      </w:pPr>
      <w:r>
        <w:rPr>
          <w:rFonts w:hint="eastAsia" w:ascii="宋体" w:hAnsi="宋体" w:cs="宋体"/>
          <w:sz w:val="24"/>
        </w:rPr>
        <w:t>注：1、投标人必须按“</w:t>
      </w:r>
      <w:r>
        <w:rPr>
          <w:rFonts w:hint="eastAsia" w:ascii="宋体" w:hAnsi="宋体" w:cs="宋体"/>
          <w:bCs/>
          <w:sz w:val="24"/>
        </w:rPr>
        <w:t>分项报价明细表”的格式</w:t>
      </w:r>
      <w:r>
        <w:rPr>
          <w:rFonts w:hint="eastAsia" w:ascii="宋体" w:hAnsi="宋体" w:cs="宋体"/>
          <w:sz w:val="24"/>
        </w:rPr>
        <w:t>详细报出投标总价的各个组成部分的报价。</w:t>
      </w:r>
    </w:p>
    <w:p>
      <w:pPr>
        <w:spacing w:line="400" w:lineRule="exact"/>
        <w:jc w:val="left"/>
        <w:rPr>
          <w:rFonts w:ascii="宋体" w:hAnsi="宋体" w:cs="宋体"/>
          <w:bCs/>
          <w:sz w:val="24"/>
        </w:rPr>
      </w:pPr>
      <w:r>
        <w:rPr>
          <w:rFonts w:hint="eastAsia" w:ascii="宋体" w:hAnsi="宋体" w:cs="宋体"/>
          <w:bCs/>
          <w:sz w:val="24"/>
        </w:rPr>
        <w:t xml:space="preserve"> 2、</w:t>
      </w:r>
      <w:r>
        <w:rPr>
          <w:rFonts w:hint="eastAsia" w:ascii="宋体" w:hAnsi="宋体" w:cs="宋体"/>
          <w:sz w:val="24"/>
        </w:rPr>
        <w:t>“</w:t>
      </w:r>
      <w:r>
        <w:rPr>
          <w:rFonts w:hint="eastAsia" w:ascii="宋体" w:hAnsi="宋体" w:cs="宋体"/>
          <w:bCs/>
          <w:sz w:val="24"/>
        </w:rPr>
        <w:t>分项报价明细表”各分项报价合计应当与“开标一览表”报价合计相等。</w:t>
      </w:r>
    </w:p>
    <w:p>
      <w:pPr>
        <w:spacing w:line="400" w:lineRule="exact"/>
        <w:jc w:val="left"/>
        <w:rPr>
          <w:rFonts w:ascii="宋体" w:hAnsi="宋体" w:cs="宋体"/>
          <w:b/>
          <w:bCs/>
          <w:sz w:val="24"/>
        </w:rPr>
      </w:pPr>
    </w:p>
    <w:p>
      <w:pPr>
        <w:adjustRightInd w:val="0"/>
        <w:spacing w:line="400" w:lineRule="exact"/>
        <w:ind w:firstLine="560" w:firstLineChars="200"/>
        <w:jc w:val="left"/>
        <w:rPr>
          <w:rFonts w:ascii="宋体" w:hAnsi="宋体" w:cs="宋体"/>
          <w:sz w:val="28"/>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480" w:firstLineChars="200"/>
        <w:jc w:val="left"/>
        <w:rPr>
          <w:rFonts w:ascii="宋体" w:hAnsi="宋体" w:cs="宋体"/>
          <w:sz w:val="24"/>
        </w:rPr>
      </w:pPr>
      <w:r>
        <w:rPr>
          <w:rFonts w:hint="eastAsia" w:ascii="宋体" w:hAnsi="宋体" w:cs="宋体"/>
          <w:sz w:val="24"/>
        </w:rPr>
        <w:t>法定代表人或授权代表（签字）：</w:t>
      </w:r>
    </w:p>
    <w:p>
      <w:pPr>
        <w:adjustRightInd w:val="0"/>
        <w:spacing w:line="400" w:lineRule="exact"/>
        <w:ind w:firstLine="480" w:firstLineChars="200"/>
        <w:jc w:val="left"/>
        <w:rPr>
          <w:rFonts w:ascii="宋体" w:hAnsi="宋体" w:cs="宋体"/>
          <w:sz w:val="28"/>
        </w:rPr>
        <w:sectPr>
          <w:type w:val="nextColumn"/>
          <w:pgSz w:w="11907" w:h="16840"/>
          <w:pgMar w:top="1440" w:right="1474" w:bottom="1440" w:left="1474" w:header="851" w:footer="992" w:gutter="0"/>
          <w:cols w:space="720" w:num="1"/>
          <w:docGrid w:linePitch="312" w:charSpace="0"/>
        </w:sectPr>
      </w:pPr>
      <w:r>
        <w:rPr>
          <w:rFonts w:hint="eastAsia" w:ascii="宋体" w:hAnsi="宋体" w:cs="宋体"/>
          <w:sz w:val="24"/>
        </w:rPr>
        <w:t>投标日期：</w:t>
      </w:r>
    </w:p>
    <w:p>
      <w:pPr>
        <w:pStyle w:val="5"/>
        <w:spacing w:line="400" w:lineRule="exact"/>
        <w:jc w:val="center"/>
        <w:rPr>
          <w:rFonts w:ascii="宋体" w:hAnsi="宋体" w:eastAsia="宋体" w:cs="宋体"/>
          <w:bCs w:val="0"/>
          <w:szCs w:val="28"/>
        </w:rPr>
      </w:pPr>
      <w:bookmarkStart w:id="159" w:name="_Toc217446087"/>
      <w:r>
        <w:rPr>
          <w:rFonts w:hint="eastAsia" w:ascii="宋体" w:hAnsi="宋体" w:eastAsia="宋体" w:cs="宋体"/>
          <w:bCs w:val="0"/>
          <w:szCs w:val="28"/>
        </w:rPr>
        <w:t>五、商务偏离表</w:t>
      </w:r>
      <w:bookmarkEnd w:id="159"/>
    </w:p>
    <w:p>
      <w:pPr>
        <w:spacing w:line="360" w:lineRule="auto"/>
        <w:rPr>
          <w:rFonts w:ascii="宋体" w:hAnsi="宋体" w:cs="宋体"/>
          <w:sz w:val="28"/>
        </w:rPr>
      </w:pPr>
      <w:r>
        <w:rPr>
          <w:rFonts w:hint="eastAsia" w:ascii="宋体" w:hAnsi="宋体" w:cs="宋体"/>
          <w:sz w:val="28"/>
        </w:rPr>
        <w:t xml:space="preserve">招标编号：                                         </w:t>
      </w:r>
    </w:p>
    <w:p>
      <w:pPr>
        <w:spacing w:line="360" w:lineRule="auto"/>
        <w:rPr>
          <w:rFonts w:ascii="宋体" w:hAnsi="宋体" w:cs="宋体"/>
          <w:sz w:val="28"/>
        </w:rPr>
      </w:pPr>
      <w:r>
        <w:rPr>
          <w:rFonts w:hint="eastAsia" w:ascii="宋体" w:hAnsi="宋体" w:cs="宋体"/>
          <w:sz w:val="28"/>
        </w:rPr>
        <w:t>包号：</w:t>
      </w:r>
    </w:p>
    <w:tbl>
      <w:tblPr>
        <w:tblStyle w:val="14"/>
        <w:tblW w:w="8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25"/>
        <w:gridCol w:w="2415"/>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序号</w:t>
            </w:r>
          </w:p>
        </w:tc>
        <w:tc>
          <w:tcPr>
            <w:tcW w:w="2625" w:type="dxa"/>
            <w:vAlign w:val="center"/>
          </w:tcPr>
          <w:p>
            <w:pPr>
              <w:spacing w:line="400" w:lineRule="exact"/>
              <w:jc w:val="center"/>
              <w:rPr>
                <w:rFonts w:ascii="宋体" w:hAnsi="宋体" w:cs="宋体"/>
                <w:sz w:val="24"/>
                <w:szCs w:val="22"/>
              </w:rPr>
            </w:pPr>
            <w:r>
              <w:rPr>
                <w:rFonts w:hint="eastAsia" w:ascii="宋体" w:hAnsi="宋体" w:cs="宋体"/>
                <w:sz w:val="24"/>
                <w:szCs w:val="22"/>
              </w:rPr>
              <w:t>招标要求</w:t>
            </w:r>
          </w:p>
        </w:tc>
        <w:tc>
          <w:tcPr>
            <w:tcW w:w="2415" w:type="dxa"/>
            <w:vAlign w:val="center"/>
          </w:tcPr>
          <w:p>
            <w:pPr>
              <w:spacing w:line="400" w:lineRule="exact"/>
              <w:jc w:val="center"/>
              <w:rPr>
                <w:rFonts w:ascii="宋体" w:hAnsi="宋体" w:cs="宋体"/>
                <w:sz w:val="24"/>
                <w:szCs w:val="22"/>
              </w:rPr>
            </w:pPr>
            <w:r>
              <w:rPr>
                <w:rFonts w:hint="eastAsia" w:ascii="宋体" w:hAnsi="宋体" w:cs="宋体"/>
                <w:sz w:val="24"/>
                <w:szCs w:val="22"/>
              </w:rPr>
              <w:t>投标响应</w:t>
            </w:r>
          </w:p>
        </w:tc>
        <w:tc>
          <w:tcPr>
            <w:tcW w:w="2621" w:type="dxa"/>
            <w:vAlign w:val="center"/>
          </w:tcPr>
          <w:p>
            <w:pPr>
              <w:spacing w:line="400" w:lineRule="exact"/>
              <w:jc w:val="center"/>
              <w:rPr>
                <w:rFonts w:ascii="宋体" w:hAnsi="宋体" w:cs="宋体"/>
                <w:sz w:val="24"/>
                <w:szCs w:val="22"/>
              </w:rPr>
            </w:pPr>
            <w:r>
              <w:rPr>
                <w:rFonts w:hint="eastAsia" w:ascii="宋体" w:hAnsi="宋体" w:cs="宋体"/>
                <w:sz w:val="24"/>
                <w:szCs w:val="22"/>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bl>
    <w:p>
      <w:pPr>
        <w:spacing w:line="400" w:lineRule="exact"/>
        <w:ind w:left="600" w:leftChars="57" w:hanging="480" w:hangingChars="200"/>
        <w:rPr>
          <w:rFonts w:ascii="宋体" w:hAnsi="宋体" w:cs="宋体"/>
          <w:sz w:val="24"/>
        </w:rPr>
      </w:pPr>
      <w:r>
        <w:rPr>
          <w:rFonts w:hint="eastAsia" w:ascii="宋体" w:hAnsi="宋体" w:cs="宋体"/>
          <w:sz w:val="24"/>
        </w:rPr>
        <w:t>注：1.本表只填写投标文件中与招标文件有偏离（包括正偏离和负偏离）的内容，投标文件中商务响应与招标文件要求完全一致的，不用在此表中列出。</w:t>
      </w:r>
    </w:p>
    <w:p>
      <w:pPr>
        <w:spacing w:line="400" w:lineRule="exact"/>
        <w:ind w:left="598" w:leftChars="285"/>
        <w:rPr>
          <w:rFonts w:ascii="宋体" w:hAnsi="宋体" w:cs="宋体"/>
          <w:sz w:val="24"/>
        </w:rPr>
      </w:pPr>
      <w:r>
        <w:rPr>
          <w:rFonts w:hint="eastAsia" w:ascii="宋体" w:hAnsi="宋体" w:cs="宋体"/>
          <w:sz w:val="24"/>
        </w:rPr>
        <w:t>2．供应商必须据实填写，不得虚假响应，否则将取消其投标或中标资格，并按有关规定进行处罚。</w:t>
      </w:r>
    </w:p>
    <w:p>
      <w:pPr>
        <w:adjustRightInd w:val="0"/>
        <w:spacing w:line="400" w:lineRule="exact"/>
        <w:ind w:firstLine="490" w:firstLineChars="175"/>
        <w:jc w:val="left"/>
        <w:rPr>
          <w:rFonts w:ascii="宋体" w:hAnsi="宋体" w:cs="宋体"/>
          <w:bCs/>
          <w:sz w:val="28"/>
          <w:szCs w:val="28"/>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420" w:firstLineChars="1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rPr>
          <w:rFonts w:ascii="宋体" w:hAnsi="宋体" w:cs="宋体"/>
          <w:bCs/>
          <w:sz w:val="24"/>
        </w:rPr>
      </w:pPr>
      <w:r>
        <w:rPr>
          <w:rFonts w:hint="eastAsia" w:ascii="宋体" w:hAnsi="宋体" w:cs="宋体"/>
          <w:bCs/>
          <w:sz w:val="24"/>
        </w:rPr>
        <w:t>投标日期:</w:t>
      </w:r>
    </w:p>
    <w:p>
      <w:pPr>
        <w:spacing w:line="400" w:lineRule="exact"/>
        <w:rPr>
          <w:rFonts w:ascii="宋体" w:hAnsi="宋体" w:cs="宋体"/>
          <w:bCs/>
          <w:sz w:val="28"/>
          <w:szCs w:val="28"/>
        </w:rPr>
      </w:pPr>
    </w:p>
    <w:p>
      <w:pPr>
        <w:spacing w:line="400" w:lineRule="exact"/>
        <w:rPr>
          <w:rFonts w:ascii="宋体" w:hAnsi="宋体" w:cs="宋体"/>
          <w:bCs/>
          <w:sz w:val="28"/>
          <w:szCs w:val="28"/>
        </w:rPr>
      </w:pPr>
    </w:p>
    <w:p>
      <w:pPr>
        <w:spacing w:line="400" w:lineRule="exact"/>
        <w:rPr>
          <w:rFonts w:ascii="宋体" w:hAnsi="宋体" w:cs="宋体"/>
          <w:bCs/>
          <w:sz w:val="28"/>
          <w:szCs w:val="28"/>
        </w:rPr>
      </w:pPr>
    </w:p>
    <w:p>
      <w:pPr>
        <w:spacing w:line="400" w:lineRule="exact"/>
        <w:rPr>
          <w:rFonts w:ascii="宋体" w:hAnsi="宋体" w:cs="宋体"/>
          <w:bCs/>
          <w:sz w:val="28"/>
          <w:szCs w:val="28"/>
        </w:rPr>
      </w:pPr>
    </w:p>
    <w:p>
      <w:pPr>
        <w:spacing w:line="400" w:lineRule="exact"/>
        <w:rPr>
          <w:rFonts w:ascii="宋体" w:hAnsi="宋体" w:cs="宋体"/>
          <w:bCs/>
          <w:sz w:val="28"/>
          <w:szCs w:val="28"/>
        </w:rPr>
      </w:pPr>
    </w:p>
    <w:p>
      <w:pPr>
        <w:pStyle w:val="5"/>
        <w:spacing w:line="400" w:lineRule="exact"/>
        <w:rPr>
          <w:rFonts w:ascii="宋体" w:hAnsi="宋体" w:eastAsia="宋体" w:cs="宋体"/>
          <w:b w:val="0"/>
          <w:bCs w:val="0"/>
          <w:sz w:val="30"/>
          <w:szCs w:val="30"/>
        </w:rPr>
      </w:pPr>
      <w:bookmarkStart w:id="160" w:name="_Toc217446088"/>
    </w:p>
    <w:p>
      <w:pPr>
        <w:rPr>
          <w:rFonts w:ascii="宋体" w:hAnsi="宋体" w:cs="宋体"/>
        </w:rPr>
      </w:pPr>
    </w:p>
    <w:p>
      <w:pPr>
        <w:pStyle w:val="5"/>
        <w:spacing w:line="400" w:lineRule="exact"/>
        <w:jc w:val="center"/>
        <w:rPr>
          <w:rFonts w:ascii="宋体" w:hAnsi="宋体" w:eastAsia="宋体" w:cs="宋体"/>
          <w:bCs w:val="0"/>
          <w:szCs w:val="28"/>
        </w:rPr>
      </w:pPr>
      <w:r>
        <w:rPr>
          <w:rFonts w:hint="eastAsia" w:ascii="宋体" w:hAnsi="宋体" w:eastAsia="宋体" w:cs="宋体"/>
          <w:bCs w:val="0"/>
          <w:szCs w:val="28"/>
        </w:rPr>
        <w:t>六、投标人基本情况表</w:t>
      </w:r>
      <w:bookmarkEnd w:id="160"/>
    </w:p>
    <w:p>
      <w:pPr>
        <w:autoSpaceDE w:val="0"/>
        <w:autoSpaceDN w:val="0"/>
        <w:adjustRightInd w:val="0"/>
        <w:spacing w:before="156" w:beforeLines="50" w:after="156" w:afterLines="50" w:line="400" w:lineRule="exact"/>
        <w:jc w:val="center"/>
        <w:rPr>
          <w:rFonts w:ascii="宋体" w:hAnsi="宋体" w:cs="宋体"/>
          <w:sz w:val="20"/>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972"/>
        <w:gridCol w:w="1206"/>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投标人名称</w:t>
            </w:r>
          </w:p>
        </w:tc>
        <w:tc>
          <w:tcPr>
            <w:tcW w:w="7019" w:type="dxa"/>
            <w:gridSpan w:val="8"/>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注册地址</w:t>
            </w:r>
          </w:p>
        </w:tc>
        <w:tc>
          <w:tcPr>
            <w:tcW w:w="3440" w:type="dxa"/>
            <w:gridSpan w:val="4"/>
            <w:vAlign w:val="center"/>
          </w:tcPr>
          <w:p>
            <w:pPr>
              <w:autoSpaceDE w:val="0"/>
              <w:autoSpaceDN w:val="0"/>
              <w:adjustRightInd w:val="0"/>
              <w:spacing w:line="400" w:lineRule="exact"/>
              <w:jc w:val="center"/>
              <w:rPr>
                <w:rFonts w:ascii="宋体" w:hAnsi="宋体" w:cs="宋体"/>
                <w:szCs w:val="21"/>
              </w:rPr>
            </w:pPr>
          </w:p>
        </w:tc>
        <w:tc>
          <w:tcPr>
            <w:tcW w:w="1325"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邮政编码</w:t>
            </w:r>
          </w:p>
        </w:tc>
        <w:tc>
          <w:tcPr>
            <w:tcW w:w="2254"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Merge w:val="restart"/>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联系方式</w:t>
            </w: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联系人</w:t>
            </w:r>
          </w:p>
        </w:tc>
        <w:tc>
          <w:tcPr>
            <w:tcW w:w="2461" w:type="dxa"/>
            <w:gridSpan w:val="2"/>
            <w:vAlign w:val="center"/>
          </w:tcPr>
          <w:p>
            <w:pPr>
              <w:autoSpaceDE w:val="0"/>
              <w:autoSpaceDN w:val="0"/>
              <w:adjustRightInd w:val="0"/>
              <w:spacing w:line="400" w:lineRule="exact"/>
              <w:jc w:val="center"/>
              <w:rPr>
                <w:rFonts w:ascii="宋体" w:hAnsi="宋体" w:cs="宋体"/>
                <w:szCs w:val="21"/>
              </w:rPr>
            </w:pPr>
          </w:p>
        </w:tc>
        <w:tc>
          <w:tcPr>
            <w:tcW w:w="1332"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2254"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503" w:type="dxa"/>
            <w:vMerge w:val="continue"/>
            <w:vAlign w:val="center"/>
          </w:tcPr>
          <w:p>
            <w:pPr>
              <w:autoSpaceDE w:val="0"/>
              <w:autoSpaceDN w:val="0"/>
              <w:adjustRightInd w:val="0"/>
              <w:spacing w:line="400" w:lineRule="exact"/>
              <w:jc w:val="center"/>
              <w:rPr>
                <w:rFonts w:ascii="宋体" w:hAnsi="宋体" w:cs="宋体"/>
                <w:szCs w:val="21"/>
              </w:rPr>
            </w:pP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传真</w:t>
            </w:r>
          </w:p>
        </w:tc>
        <w:tc>
          <w:tcPr>
            <w:tcW w:w="2461" w:type="dxa"/>
            <w:gridSpan w:val="2"/>
            <w:vAlign w:val="center"/>
          </w:tcPr>
          <w:p>
            <w:pPr>
              <w:autoSpaceDE w:val="0"/>
              <w:autoSpaceDN w:val="0"/>
              <w:adjustRightInd w:val="0"/>
              <w:spacing w:line="400" w:lineRule="exact"/>
              <w:jc w:val="center"/>
              <w:rPr>
                <w:rFonts w:ascii="宋体" w:hAnsi="宋体" w:cs="宋体"/>
                <w:szCs w:val="21"/>
              </w:rPr>
            </w:pPr>
          </w:p>
        </w:tc>
        <w:tc>
          <w:tcPr>
            <w:tcW w:w="1332"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网址</w:t>
            </w:r>
          </w:p>
        </w:tc>
        <w:tc>
          <w:tcPr>
            <w:tcW w:w="2254"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组织结构</w:t>
            </w:r>
          </w:p>
        </w:tc>
        <w:tc>
          <w:tcPr>
            <w:tcW w:w="7019" w:type="dxa"/>
            <w:gridSpan w:val="8"/>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法定代表人</w:t>
            </w: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姓名</w:t>
            </w:r>
          </w:p>
        </w:tc>
        <w:tc>
          <w:tcPr>
            <w:tcW w:w="1206" w:type="dxa"/>
            <w:vAlign w:val="center"/>
          </w:tcPr>
          <w:p>
            <w:pPr>
              <w:autoSpaceDE w:val="0"/>
              <w:autoSpaceDN w:val="0"/>
              <w:adjustRightInd w:val="0"/>
              <w:spacing w:line="400" w:lineRule="exact"/>
              <w:jc w:val="center"/>
              <w:rPr>
                <w:rFonts w:ascii="宋体" w:hAnsi="宋体" w:cs="宋体"/>
                <w:szCs w:val="21"/>
              </w:rPr>
            </w:pPr>
          </w:p>
        </w:tc>
        <w:tc>
          <w:tcPr>
            <w:tcW w:w="1255"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技术职称</w:t>
            </w:r>
          </w:p>
        </w:tc>
        <w:tc>
          <w:tcPr>
            <w:tcW w:w="1332" w:type="dxa"/>
            <w:gridSpan w:val="2"/>
            <w:vAlign w:val="center"/>
          </w:tcPr>
          <w:p>
            <w:pPr>
              <w:autoSpaceDE w:val="0"/>
              <w:autoSpaceDN w:val="0"/>
              <w:adjustRightInd w:val="0"/>
              <w:spacing w:line="400" w:lineRule="exact"/>
              <w:jc w:val="center"/>
              <w:rPr>
                <w:rFonts w:ascii="宋体" w:hAnsi="宋体" w:cs="宋体"/>
                <w:szCs w:val="21"/>
              </w:rPr>
            </w:pPr>
          </w:p>
        </w:tc>
        <w:tc>
          <w:tcPr>
            <w:tcW w:w="1178"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1076" w:type="dxa"/>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技术负责人</w:t>
            </w: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姓名</w:t>
            </w:r>
          </w:p>
        </w:tc>
        <w:tc>
          <w:tcPr>
            <w:tcW w:w="1206" w:type="dxa"/>
            <w:vAlign w:val="center"/>
          </w:tcPr>
          <w:p>
            <w:pPr>
              <w:autoSpaceDE w:val="0"/>
              <w:autoSpaceDN w:val="0"/>
              <w:adjustRightInd w:val="0"/>
              <w:spacing w:line="400" w:lineRule="exact"/>
              <w:jc w:val="center"/>
              <w:rPr>
                <w:rFonts w:ascii="宋体" w:hAnsi="宋体" w:cs="宋体"/>
                <w:szCs w:val="21"/>
              </w:rPr>
            </w:pPr>
          </w:p>
        </w:tc>
        <w:tc>
          <w:tcPr>
            <w:tcW w:w="1255"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技术职称</w:t>
            </w:r>
          </w:p>
        </w:tc>
        <w:tc>
          <w:tcPr>
            <w:tcW w:w="1332" w:type="dxa"/>
            <w:gridSpan w:val="2"/>
            <w:vAlign w:val="center"/>
          </w:tcPr>
          <w:p>
            <w:pPr>
              <w:autoSpaceDE w:val="0"/>
              <w:autoSpaceDN w:val="0"/>
              <w:adjustRightInd w:val="0"/>
              <w:spacing w:line="400" w:lineRule="exact"/>
              <w:jc w:val="center"/>
              <w:rPr>
                <w:rFonts w:ascii="宋体" w:hAnsi="宋体" w:cs="宋体"/>
                <w:szCs w:val="21"/>
              </w:rPr>
            </w:pPr>
          </w:p>
        </w:tc>
        <w:tc>
          <w:tcPr>
            <w:tcW w:w="1178"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1076" w:type="dxa"/>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成立时间</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4841" w:type="dxa"/>
            <w:gridSpan w:val="6"/>
            <w:vAlign w:val="center"/>
          </w:tcPr>
          <w:p>
            <w:pPr>
              <w:autoSpaceDE w:val="0"/>
              <w:autoSpaceDN w:val="0"/>
              <w:adjustRightInd w:val="0"/>
              <w:spacing w:line="400" w:lineRule="exact"/>
              <w:ind w:firstLine="1470" w:firstLineChars="700"/>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企业资质等级</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restart"/>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其中</w:t>
            </w: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项目经理</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营业执照号</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高级职称人员</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注册资金</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中级职称人员</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开户银行</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初级职称人员</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账号</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技工</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经营范围</w:t>
            </w:r>
          </w:p>
        </w:tc>
        <w:tc>
          <w:tcPr>
            <w:tcW w:w="7019" w:type="dxa"/>
            <w:gridSpan w:val="8"/>
            <w:vAlign w:val="center"/>
          </w:tcPr>
          <w:p>
            <w:pPr>
              <w:autoSpaceDE w:val="0"/>
              <w:autoSpaceDN w:val="0"/>
              <w:adjustRightInd w:val="0"/>
              <w:spacing w:line="400" w:lineRule="exac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503" w:type="dxa"/>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备注</w:t>
            </w:r>
          </w:p>
        </w:tc>
        <w:tc>
          <w:tcPr>
            <w:tcW w:w="7019" w:type="dxa"/>
            <w:gridSpan w:val="8"/>
          </w:tcPr>
          <w:p>
            <w:pPr>
              <w:autoSpaceDE w:val="0"/>
              <w:autoSpaceDN w:val="0"/>
              <w:adjustRightInd w:val="0"/>
              <w:spacing w:line="400" w:lineRule="exact"/>
              <w:jc w:val="left"/>
              <w:rPr>
                <w:rFonts w:ascii="宋体" w:hAnsi="宋体" w:cs="宋体"/>
                <w:szCs w:val="21"/>
              </w:rPr>
            </w:pPr>
          </w:p>
        </w:tc>
      </w:tr>
    </w:tbl>
    <w:p>
      <w:pPr>
        <w:spacing w:line="400" w:lineRule="exact"/>
        <w:outlineLvl w:val="1"/>
        <w:rPr>
          <w:rFonts w:ascii="宋体" w:hAnsi="宋体" w:cs="宋体"/>
          <w:b/>
          <w:sz w:val="32"/>
          <w:szCs w:val="32"/>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420" w:firstLineChars="1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outlineLvl w:val="1"/>
        <w:rPr>
          <w:rFonts w:ascii="宋体" w:hAnsi="宋体" w:cs="宋体"/>
          <w:b/>
          <w:sz w:val="24"/>
        </w:rPr>
      </w:pPr>
      <w:r>
        <w:rPr>
          <w:rFonts w:hint="eastAsia" w:ascii="宋体" w:hAnsi="宋体" w:cs="宋体"/>
          <w:bCs/>
          <w:sz w:val="24"/>
        </w:rPr>
        <w:t>投标日期：</w:t>
      </w:r>
    </w:p>
    <w:p>
      <w:pPr>
        <w:spacing w:line="400" w:lineRule="exact"/>
        <w:rPr>
          <w:rFonts w:ascii="宋体" w:hAnsi="宋体" w:cs="宋体"/>
        </w:rPr>
      </w:pPr>
    </w:p>
    <w:p>
      <w:pPr>
        <w:pStyle w:val="5"/>
        <w:spacing w:line="400" w:lineRule="exact"/>
        <w:jc w:val="center"/>
        <w:rPr>
          <w:rFonts w:ascii="宋体" w:hAnsi="宋体" w:eastAsia="宋体" w:cs="宋体"/>
          <w:bCs w:val="0"/>
          <w:szCs w:val="28"/>
        </w:rPr>
      </w:pPr>
      <w:bookmarkStart w:id="161" w:name="_Toc217446089"/>
      <w:r>
        <w:rPr>
          <w:rFonts w:hint="eastAsia" w:ascii="宋体" w:hAnsi="宋体" w:eastAsia="宋体" w:cs="宋体"/>
          <w:bCs w:val="0"/>
          <w:szCs w:val="28"/>
        </w:rPr>
        <w:t>七、投标人类似项目业绩一览表</w:t>
      </w:r>
      <w:bookmarkEnd w:id="161"/>
    </w:p>
    <w:p>
      <w:pPr>
        <w:spacing w:line="400" w:lineRule="exact"/>
        <w:rPr>
          <w:rFonts w:ascii="宋体" w:hAnsi="宋体" w:cs="宋体"/>
          <w:sz w:val="24"/>
        </w:rPr>
      </w:pPr>
    </w:p>
    <w:tbl>
      <w:tblPr>
        <w:tblStyle w:val="14"/>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356"/>
        <w:gridCol w:w="1471"/>
        <w:gridCol w:w="15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842" w:type="dxa"/>
            <w:tcBorders>
              <w:top w:val="single" w:color="auto" w:sz="4" w:space="0"/>
            </w:tcBorders>
            <w:vAlign w:val="center"/>
          </w:tcPr>
          <w:p>
            <w:pPr>
              <w:spacing w:line="400" w:lineRule="exact"/>
              <w:jc w:val="center"/>
              <w:rPr>
                <w:rFonts w:ascii="宋体" w:hAnsi="宋体" w:cs="宋体"/>
                <w:sz w:val="24"/>
                <w:szCs w:val="22"/>
              </w:rPr>
            </w:pPr>
            <w:r>
              <w:rPr>
                <w:rFonts w:hint="eastAsia" w:ascii="宋体" w:hAnsi="宋体" w:cs="宋体"/>
                <w:sz w:val="24"/>
                <w:szCs w:val="22"/>
              </w:rPr>
              <w:t>年份</w:t>
            </w:r>
          </w:p>
        </w:tc>
        <w:tc>
          <w:tcPr>
            <w:tcW w:w="1681" w:type="dxa"/>
            <w:vAlign w:val="center"/>
          </w:tcPr>
          <w:p>
            <w:pPr>
              <w:spacing w:line="400" w:lineRule="exact"/>
              <w:jc w:val="center"/>
              <w:rPr>
                <w:rFonts w:ascii="宋体" w:hAnsi="宋体" w:cs="宋体"/>
                <w:sz w:val="24"/>
                <w:szCs w:val="22"/>
              </w:rPr>
            </w:pPr>
            <w:r>
              <w:rPr>
                <w:rFonts w:hint="eastAsia" w:ascii="宋体" w:hAnsi="宋体" w:cs="宋体"/>
                <w:sz w:val="24"/>
                <w:szCs w:val="22"/>
              </w:rPr>
              <w:t>用户名称</w:t>
            </w:r>
          </w:p>
        </w:tc>
        <w:tc>
          <w:tcPr>
            <w:tcW w:w="1541" w:type="dxa"/>
            <w:vAlign w:val="center"/>
          </w:tcPr>
          <w:p>
            <w:pPr>
              <w:spacing w:line="400" w:lineRule="exact"/>
              <w:jc w:val="center"/>
              <w:rPr>
                <w:rFonts w:ascii="宋体" w:hAnsi="宋体" w:cs="宋体"/>
                <w:sz w:val="24"/>
                <w:szCs w:val="22"/>
              </w:rPr>
            </w:pPr>
            <w:r>
              <w:rPr>
                <w:rFonts w:hint="eastAsia" w:ascii="宋体" w:hAnsi="宋体" w:cs="宋体"/>
                <w:sz w:val="24"/>
                <w:szCs w:val="22"/>
              </w:rPr>
              <w:t>项目名称</w:t>
            </w:r>
          </w:p>
        </w:tc>
        <w:tc>
          <w:tcPr>
            <w:tcW w:w="1356" w:type="dxa"/>
            <w:vAlign w:val="center"/>
          </w:tcPr>
          <w:p>
            <w:pPr>
              <w:spacing w:line="400" w:lineRule="exact"/>
              <w:jc w:val="center"/>
              <w:rPr>
                <w:rFonts w:ascii="宋体" w:hAnsi="宋体" w:cs="宋体"/>
                <w:sz w:val="24"/>
                <w:szCs w:val="22"/>
              </w:rPr>
            </w:pPr>
            <w:r>
              <w:rPr>
                <w:rFonts w:hint="eastAsia" w:ascii="宋体" w:hAnsi="宋体" w:cs="宋体"/>
                <w:sz w:val="24"/>
                <w:szCs w:val="22"/>
              </w:rPr>
              <w:t>完成时间</w:t>
            </w:r>
          </w:p>
        </w:tc>
        <w:tc>
          <w:tcPr>
            <w:tcW w:w="1471" w:type="dxa"/>
            <w:vAlign w:val="center"/>
          </w:tcPr>
          <w:p>
            <w:pPr>
              <w:spacing w:line="400" w:lineRule="exact"/>
              <w:jc w:val="center"/>
              <w:rPr>
                <w:rFonts w:ascii="宋体" w:hAnsi="宋体" w:cs="宋体"/>
                <w:sz w:val="24"/>
                <w:szCs w:val="22"/>
              </w:rPr>
            </w:pPr>
            <w:r>
              <w:rPr>
                <w:rFonts w:hint="eastAsia" w:ascii="宋体" w:hAnsi="宋体" w:cs="宋体"/>
                <w:sz w:val="24"/>
                <w:szCs w:val="22"/>
              </w:rPr>
              <w:t>合同金额</w:t>
            </w:r>
          </w:p>
        </w:tc>
        <w:tc>
          <w:tcPr>
            <w:tcW w:w="1523" w:type="dxa"/>
            <w:tcBorders>
              <w:left w:val="single" w:color="auto" w:sz="4" w:space="0"/>
            </w:tcBorders>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vAlign w:val="center"/>
          </w:tcPr>
          <w:p>
            <w:pPr>
              <w:spacing w:line="400" w:lineRule="exact"/>
              <w:jc w:val="center"/>
              <w:rPr>
                <w:rFonts w:ascii="宋体" w:hAnsi="宋体" w:cs="宋体"/>
              </w:rPr>
            </w:pPr>
          </w:p>
        </w:tc>
        <w:tc>
          <w:tcPr>
            <w:tcW w:w="1541" w:type="dxa"/>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vAlign w:val="center"/>
          </w:tcPr>
          <w:p>
            <w:pPr>
              <w:spacing w:line="400" w:lineRule="exact"/>
              <w:jc w:val="center"/>
              <w:rPr>
                <w:rFonts w:ascii="宋体" w:hAnsi="宋体" w:cs="宋体"/>
              </w:rPr>
            </w:pPr>
          </w:p>
        </w:tc>
        <w:tc>
          <w:tcPr>
            <w:tcW w:w="1541" w:type="dxa"/>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vAlign w:val="center"/>
          </w:tcPr>
          <w:p>
            <w:pPr>
              <w:spacing w:line="400" w:lineRule="exact"/>
              <w:jc w:val="center"/>
              <w:rPr>
                <w:rFonts w:ascii="宋体" w:hAnsi="宋体" w:cs="宋体"/>
              </w:rPr>
            </w:pPr>
          </w:p>
        </w:tc>
        <w:tc>
          <w:tcPr>
            <w:tcW w:w="1541" w:type="dxa"/>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宋体" w:hAnsi="宋体" w:cs="宋体"/>
          <w:sz w:val="24"/>
        </w:rPr>
      </w:pPr>
      <w:r>
        <w:rPr>
          <w:rFonts w:hint="eastAsia" w:ascii="宋体" w:hAnsi="宋体" w:cs="宋体"/>
          <w:sz w:val="24"/>
        </w:rPr>
        <w:t xml:space="preserve">注：投标人以上业绩需提供有关书面证明材料。“合同金额”需提供合同复印件； </w:t>
      </w:r>
    </w:p>
    <w:p>
      <w:pPr>
        <w:spacing w:line="400" w:lineRule="exact"/>
        <w:ind w:left="360"/>
        <w:jc w:val="center"/>
        <w:rPr>
          <w:rFonts w:ascii="宋体" w:hAnsi="宋体" w:cs="宋体"/>
          <w:sz w:val="24"/>
        </w:rPr>
      </w:pPr>
    </w:p>
    <w:p>
      <w:pPr>
        <w:spacing w:line="400" w:lineRule="exact"/>
        <w:ind w:left="360"/>
        <w:jc w:val="center"/>
        <w:rPr>
          <w:rFonts w:ascii="宋体" w:hAnsi="宋体" w:cs="宋体"/>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540" w:firstLineChars="22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rPr>
          <w:rFonts w:ascii="宋体" w:hAnsi="宋体" w:cs="宋体"/>
          <w:b/>
          <w:sz w:val="24"/>
        </w:rPr>
      </w:pPr>
      <w:r>
        <w:rPr>
          <w:rFonts w:hint="eastAsia" w:ascii="宋体" w:hAnsi="宋体" w:cs="宋体"/>
          <w:bCs/>
          <w:sz w:val="24"/>
        </w:rPr>
        <w:t>投标日期：</w:t>
      </w: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pStyle w:val="5"/>
        <w:spacing w:line="400" w:lineRule="exact"/>
        <w:jc w:val="center"/>
        <w:rPr>
          <w:rFonts w:ascii="宋体" w:hAnsi="宋体" w:eastAsia="宋体" w:cs="宋体"/>
          <w:bCs w:val="0"/>
          <w:szCs w:val="28"/>
        </w:rPr>
      </w:pPr>
      <w:bookmarkStart w:id="162" w:name="_Toc217446090"/>
      <w:r>
        <w:rPr>
          <w:rFonts w:hint="eastAsia" w:ascii="宋体" w:hAnsi="宋体" w:eastAsia="宋体" w:cs="宋体"/>
          <w:bCs w:val="0"/>
          <w:szCs w:val="28"/>
        </w:rPr>
        <w:t>八、投标产品技术参数表</w:t>
      </w:r>
      <w:bookmarkEnd w:id="162"/>
    </w:p>
    <w:p>
      <w:pPr>
        <w:autoSpaceDE w:val="0"/>
        <w:autoSpaceDN w:val="0"/>
        <w:adjustRightInd w:val="0"/>
        <w:spacing w:line="400" w:lineRule="exact"/>
        <w:jc w:val="center"/>
        <w:rPr>
          <w:rFonts w:ascii="宋体" w:hAnsi="宋体" w:cs="宋体"/>
          <w:b/>
          <w:bCs/>
          <w:sz w:val="28"/>
        </w:rPr>
      </w:pPr>
    </w:p>
    <w:p>
      <w:pPr>
        <w:pStyle w:val="24"/>
        <w:rPr>
          <w:rFonts w:ascii="宋体" w:hAnsi="宋体" w:cs="宋体"/>
          <w:sz w:val="21"/>
          <w:szCs w:val="21"/>
        </w:rPr>
      </w:pPr>
      <w:r>
        <w:rPr>
          <w:rFonts w:hint="eastAsia" w:ascii="宋体" w:hAnsi="宋体" w:cs="宋体"/>
        </w:rPr>
        <w:t>招标编号</w:t>
      </w:r>
      <w:r>
        <w:rPr>
          <w:rFonts w:hint="eastAsia" w:ascii="宋体" w:hAnsi="宋体" w:cs="宋体"/>
          <w:sz w:val="21"/>
          <w:szCs w:val="21"/>
        </w:rPr>
        <w:t xml:space="preserve">：                             </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996"/>
        <w:gridCol w:w="2543"/>
        <w:gridCol w:w="160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Align w:val="center"/>
          </w:tcPr>
          <w:p>
            <w:pPr>
              <w:pStyle w:val="24"/>
              <w:rPr>
                <w:rFonts w:ascii="宋体" w:hAnsi="宋体" w:cs="宋体"/>
                <w:sz w:val="21"/>
                <w:szCs w:val="21"/>
              </w:rPr>
            </w:pPr>
            <w:r>
              <w:rPr>
                <w:rFonts w:hint="eastAsia" w:ascii="宋体" w:hAnsi="宋体" w:cs="宋体"/>
                <w:sz w:val="21"/>
                <w:szCs w:val="21"/>
              </w:rPr>
              <w:t>序号</w:t>
            </w:r>
          </w:p>
        </w:tc>
        <w:tc>
          <w:tcPr>
            <w:tcW w:w="1996" w:type="dxa"/>
            <w:vAlign w:val="center"/>
          </w:tcPr>
          <w:p>
            <w:pPr>
              <w:pStyle w:val="24"/>
              <w:rPr>
                <w:rFonts w:ascii="宋体" w:hAnsi="宋体" w:cs="宋体"/>
                <w:sz w:val="21"/>
                <w:szCs w:val="21"/>
              </w:rPr>
            </w:pPr>
            <w:r>
              <w:rPr>
                <w:rFonts w:hint="eastAsia" w:ascii="宋体" w:hAnsi="宋体" w:cs="宋体"/>
                <w:sz w:val="21"/>
                <w:szCs w:val="21"/>
              </w:rPr>
              <w:t>货物（设备）名称</w:t>
            </w:r>
          </w:p>
        </w:tc>
        <w:tc>
          <w:tcPr>
            <w:tcW w:w="2543" w:type="dxa"/>
            <w:vAlign w:val="center"/>
          </w:tcPr>
          <w:p>
            <w:pPr>
              <w:pStyle w:val="24"/>
              <w:ind w:firstLine="420" w:firstLineChars="200"/>
              <w:rPr>
                <w:rFonts w:ascii="宋体" w:hAnsi="宋体" w:cs="宋体"/>
                <w:sz w:val="21"/>
                <w:szCs w:val="21"/>
              </w:rPr>
            </w:pPr>
            <w:r>
              <w:rPr>
                <w:rFonts w:hint="eastAsia" w:ascii="宋体" w:hAnsi="宋体" w:cs="宋体"/>
                <w:sz w:val="21"/>
                <w:szCs w:val="21"/>
              </w:rPr>
              <w:t>招标文件要求</w:t>
            </w:r>
          </w:p>
        </w:tc>
        <w:tc>
          <w:tcPr>
            <w:tcW w:w="1604" w:type="dxa"/>
            <w:vAlign w:val="center"/>
          </w:tcPr>
          <w:p>
            <w:pPr>
              <w:pStyle w:val="24"/>
              <w:rPr>
                <w:rFonts w:ascii="宋体" w:hAnsi="宋体" w:cs="宋体"/>
                <w:sz w:val="21"/>
                <w:szCs w:val="21"/>
              </w:rPr>
            </w:pPr>
            <w:r>
              <w:rPr>
                <w:rFonts w:hint="eastAsia" w:ascii="宋体" w:hAnsi="宋体" w:cs="宋体"/>
                <w:sz w:val="21"/>
                <w:szCs w:val="21"/>
              </w:rPr>
              <w:t>投标产品技术参数</w:t>
            </w:r>
          </w:p>
        </w:tc>
        <w:tc>
          <w:tcPr>
            <w:tcW w:w="1580" w:type="dxa"/>
            <w:vAlign w:val="center"/>
          </w:tcPr>
          <w:p>
            <w:pPr>
              <w:pStyle w:val="24"/>
              <w:rPr>
                <w:rFonts w:ascii="宋体" w:hAnsi="宋体" w:cs="宋体"/>
                <w:sz w:val="21"/>
                <w:szCs w:val="21"/>
              </w:rPr>
            </w:pPr>
            <w:r>
              <w:rPr>
                <w:rFonts w:hint="eastAsia" w:ascii="宋体" w:hAnsi="宋体" w:cs="宋体"/>
                <w:sz w:val="21"/>
                <w:szCs w:val="21"/>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4"/>
              <w:rPr>
                <w:rFonts w:ascii="宋体" w:hAnsi="宋体" w:cs="宋体"/>
                <w:sz w:val="21"/>
                <w:szCs w:val="21"/>
              </w:rPr>
            </w:pPr>
          </w:p>
        </w:tc>
        <w:tc>
          <w:tcPr>
            <w:tcW w:w="1996" w:type="dxa"/>
          </w:tcPr>
          <w:p>
            <w:pPr>
              <w:pStyle w:val="24"/>
              <w:rPr>
                <w:rFonts w:ascii="宋体" w:hAnsi="宋体" w:cs="宋体"/>
                <w:sz w:val="21"/>
                <w:szCs w:val="21"/>
              </w:rPr>
            </w:pPr>
          </w:p>
        </w:tc>
        <w:tc>
          <w:tcPr>
            <w:tcW w:w="2543" w:type="dxa"/>
          </w:tcPr>
          <w:p>
            <w:pPr>
              <w:pStyle w:val="24"/>
              <w:rPr>
                <w:rFonts w:ascii="宋体" w:hAnsi="宋体" w:cs="宋体"/>
                <w:sz w:val="21"/>
                <w:szCs w:val="21"/>
              </w:rPr>
            </w:pPr>
          </w:p>
        </w:tc>
        <w:tc>
          <w:tcPr>
            <w:tcW w:w="1604" w:type="dxa"/>
          </w:tcPr>
          <w:p>
            <w:pPr>
              <w:pStyle w:val="24"/>
              <w:rPr>
                <w:rFonts w:ascii="宋体" w:hAnsi="宋体" w:cs="宋体"/>
                <w:sz w:val="21"/>
                <w:szCs w:val="21"/>
              </w:rPr>
            </w:pPr>
          </w:p>
        </w:tc>
        <w:tc>
          <w:tcPr>
            <w:tcW w:w="1580" w:type="dxa"/>
          </w:tcPr>
          <w:p>
            <w:pPr>
              <w:pStyle w:val="24"/>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4"/>
              <w:rPr>
                <w:rFonts w:ascii="宋体" w:hAnsi="宋体" w:cs="宋体"/>
                <w:sz w:val="21"/>
                <w:szCs w:val="21"/>
              </w:rPr>
            </w:pPr>
          </w:p>
        </w:tc>
        <w:tc>
          <w:tcPr>
            <w:tcW w:w="1996" w:type="dxa"/>
          </w:tcPr>
          <w:p>
            <w:pPr>
              <w:pStyle w:val="24"/>
              <w:rPr>
                <w:rFonts w:ascii="宋体" w:hAnsi="宋体" w:cs="宋体"/>
                <w:sz w:val="21"/>
                <w:szCs w:val="21"/>
              </w:rPr>
            </w:pPr>
          </w:p>
        </w:tc>
        <w:tc>
          <w:tcPr>
            <w:tcW w:w="2543" w:type="dxa"/>
          </w:tcPr>
          <w:p>
            <w:pPr>
              <w:pStyle w:val="24"/>
              <w:rPr>
                <w:rFonts w:ascii="宋体" w:hAnsi="宋体" w:cs="宋体"/>
                <w:sz w:val="21"/>
                <w:szCs w:val="21"/>
              </w:rPr>
            </w:pPr>
          </w:p>
        </w:tc>
        <w:tc>
          <w:tcPr>
            <w:tcW w:w="1604" w:type="dxa"/>
          </w:tcPr>
          <w:p>
            <w:pPr>
              <w:pStyle w:val="24"/>
              <w:rPr>
                <w:rFonts w:ascii="宋体" w:hAnsi="宋体" w:cs="宋体"/>
                <w:sz w:val="21"/>
                <w:szCs w:val="21"/>
              </w:rPr>
            </w:pPr>
          </w:p>
        </w:tc>
        <w:tc>
          <w:tcPr>
            <w:tcW w:w="1580" w:type="dxa"/>
          </w:tcPr>
          <w:p>
            <w:pPr>
              <w:pStyle w:val="24"/>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4"/>
              <w:rPr>
                <w:rFonts w:ascii="宋体" w:hAnsi="宋体" w:cs="宋体"/>
                <w:sz w:val="21"/>
                <w:szCs w:val="21"/>
              </w:rPr>
            </w:pPr>
          </w:p>
        </w:tc>
        <w:tc>
          <w:tcPr>
            <w:tcW w:w="1996" w:type="dxa"/>
          </w:tcPr>
          <w:p>
            <w:pPr>
              <w:pStyle w:val="24"/>
              <w:rPr>
                <w:rFonts w:ascii="宋体" w:hAnsi="宋体" w:cs="宋体"/>
                <w:sz w:val="21"/>
                <w:szCs w:val="21"/>
              </w:rPr>
            </w:pPr>
          </w:p>
        </w:tc>
        <w:tc>
          <w:tcPr>
            <w:tcW w:w="2543" w:type="dxa"/>
          </w:tcPr>
          <w:p>
            <w:pPr>
              <w:pStyle w:val="24"/>
              <w:rPr>
                <w:rFonts w:ascii="宋体" w:hAnsi="宋体" w:cs="宋体"/>
                <w:sz w:val="21"/>
                <w:szCs w:val="21"/>
              </w:rPr>
            </w:pPr>
          </w:p>
        </w:tc>
        <w:tc>
          <w:tcPr>
            <w:tcW w:w="1604" w:type="dxa"/>
          </w:tcPr>
          <w:p>
            <w:pPr>
              <w:pStyle w:val="24"/>
              <w:rPr>
                <w:rFonts w:ascii="宋体" w:hAnsi="宋体" w:cs="宋体"/>
                <w:sz w:val="21"/>
                <w:szCs w:val="21"/>
              </w:rPr>
            </w:pPr>
          </w:p>
        </w:tc>
        <w:tc>
          <w:tcPr>
            <w:tcW w:w="1580" w:type="dxa"/>
          </w:tcPr>
          <w:p>
            <w:pPr>
              <w:pStyle w:val="24"/>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4"/>
              <w:rPr>
                <w:rFonts w:ascii="宋体" w:hAnsi="宋体" w:cs="宋体"/>
                <w:sz w:val="21"/>
                <w:szCs w:val="21"/>
              </w:rPr>
            </w:pPr>
          </w:p>
        </w:tc>
        <w:tc>
          <w:tcPr>
            <w:tcW w:w="1996" w:type="dxa"/>
          </w:tcPr>
          <w:p>
            <w:pPr>
              <w:pStyle w:val="24"/>
              <w:rPr>
                <w:rFonts w:ascii="宋体" w:hAnsi="宋体" w:cs="宋体"/>
                <w:sz w:val="21"/>
                <w:szCs w:val="21"/>
              </w:rPr>
            </w:pPr>
          </w:p>
        </w:tc>
        <w:tc>
          <w:tcPr>
            <w:tcW w:w="2543" w:type="dxa"/>
          </w:tcPr>
          <w:p>
            <w:pPr>
              <w:pStyle w:val="24"/>
              <w:rPr>
                <w:rFonts w:ascii="宋体" w:hAnsi="宋体" w:cs="宋体"/>
                <w:sz w:val="21"/>
                <w:szCs w:val="21"/>
              </w:rPr>
            </w:pPr>
          </w:p>
        </w:tc>
        <w:tc>
          <w:tcPr>
            <w:tcW w:w="1604" w:type="dxa"/>
          </w:tcPr>
          <w:p>
            <w:pPr>
              <w:pStyle w:val="24"/>
              <w:rPr>
                <w:rFonts w:ascii="宋体" w:hAnsi="宋体" w:cs="宋体"/>
                <w:sz w:val="21"/>
                <w:szCs w:val="21"/>
              </w:rPr>
            </w:pPr>
          </w:p>
        </w:tc>
        <w:tc>
          <w:tcPr>
            <w:tcW w:w="1580" w:type="dxa"/>
          </w:tcPr>
          <w:p>
            <w:pPr>
              <w:pStyle w:val="24"/>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4"/>
              <w:rPr>
                <w:rFonts w:ascii="宋体" w:hAnsi="宋体" w:cs="宋体"/>
                <w:sz w:val="21"/>
                <w:szCs w:val="21"/>
              </w:rPr>
            </w:pPr>
          </w:p>
        </w:tc>
        <w:tc>
          <w:tcPr>
            <w:tcW w:w="1996" w:type="dxa"/>
          </w:tcPr>
          <w:p>
            <w:pPr>
              <w:pStyle w:val="24"/>
              <w:rPr>
                <w:rFonts w:ascii="宋体" w:hAnsi="宋体" w:cs="宋体"/>
                <w:sz w:val="21"/>
                <w:szCs w:val="21"/>
              </w:rPr>
            </w:pPr>
          </w:p>
        </w:tc>
        <w:tc>
          <w:tcPr>
            <w:tcW w:w="2543" w:type="dxa"/>
          </w:tcPr>
          <w:p>
            <w:pPr>
              <w:pStyle w:val="24"/>
              <w:rPr>
                <w:rFonts w:ascii="宋体" w:hAnsi="宋体" w:cs="宋体"/>
                <w:sz w:val="21"/>
                <w:szCs w:val="21"/>
              </w:rPr>
            </w:pPr>
          </w:p>
        </w:tc>
        <w:tc>
          <w:tcPr>
            <w:tcW w:w="1604" w:type="dxa"/>
          </w:tcPr>
          <w:p>
            <w:pPr>
              <w:pStyle w:val="24"/>
              <w:rPr>
                <w:rFonts w:ascii="宋体" w:hAnsi="宋体" w:cs="宋体"/>
                <w:sz w:val="21"/>
                <w:szCs w:val="21"/>
              </w:rPr>
            </w:pPr>
          </w:p>
        </w:tc>
        <w:tc>
          <w:tcPr>
            <w:tcW w:w="1580" w:type="dxa"/>
          </w:tcPr>
          <w:p>
            <w:pPr>
              <w:pStyle w:val="24"/>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4"/>
              <w:rPr>
                <w:rFonts w:ascii="宋体" w:hAnsi="宋体" w:cs="宋体"/>
                <w:sz w:val="21"/>
                <w:szCs w:val="21"/>
              </w:rPr>
            </w:pPr>
          </w:p>
        </w:tc>
        <w:tc>
          <w:tcPr>
            <w:tcW w:w="1996" w:type="dxa"/>
          </w:tcPr>
          <w:p>
            <w:pPr>
              <w:pStyle w:val="24"/>
              <w:rPr>
                <w:rFonts w:ascii="宋体" w:hAnsi="宋体" w:cs="宋体"/>
                <w:sz w:val="21"/>
                <w:szCs w:val="21"/>
              </w:rPr>
            </w:pPr>
          </w:p>
        </w:tc>
        <w:tc>
          <w:tcPr>
            <w:tcW w:w="2543" w:type="dxa"/>
          </w:tcPr>
          <w:p>
            <w:pPr>
              <w:pStyle w:val="24"/>
              <w:rPr>
                <w:rFonts w:ascii="宋体" w:hAnsi="宋体" w:cs="宋体"/>
                <w:sz w:val="21"/>
                <w:szCs w:val="21"/>
              </w:rPr>
            </w:pPr>
          </w:p>
        </w:tc>
        <w:tc>
          <w:tcPr>
            <w:tcW w:w="1604" w:type="dxa"/>
          </w:tcPr>
          <w:p>
            <w:pPr>
              <w:pStyle w:val="24"/>
              <w:rPr>
                <w:rFonts w:ascii="宋体" w:hAnsi="宋体" w:cs="宋体"/>
                <w:sz w:val="21"/>
                <w:szCs w:val="21"/>
              </w:rPr>
            </w:pPr>
          </w:p>
        </w:tc>
        <w:tc>
          <w:tcPr>
            <w:tcW w:w="1580" w:type="dxa"/>
          </w:tcPr>
          <w:p>
            <w:pPr>
              <w:pStyle w:val="24"/>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4"/>
              <w:rPr>
                <w:rFonts w:ascii="宋体" w:hAnsi="宋体" w:cs="宋体"/>
                <w:sz w:val="21"/>
                <w:szCs w:val="21"/>
              </w:rPr>
            </w:pPr>
          </w:p>
        </w:tc>
        <w:tc>
          <w:tcPr>
            <w:tcW w:w="1996" w:type="dxa"/>
          </w:tcPr>
          <w:p>
            <w:pPr>
              <w:pStyle w:val="24"/>
              <w:rPr>
                <w:rFonts w:ascii="宋体" w:hAnsi="宋体" w:cs="宋体"/>
                <w:sz w:val="21"/>
                <w:szCs w:val="21"/>
              </w:rPr>
            </w:pPr>
          </w:p>
        </w:tc>
        <w:tc>
          <w:tcPr>
            <w:tcW w:w="2543" w:type="dxa"/>
          </w:tcPr>
          <w:p>
            <w:pPr>
              <w:pStyle w:val="24"/>
              <w:rPr>
                <w:rFonts w:ascii="宋体" w:hAnsi="宋体" w:cs="宋体"/>
                <w:sz w:val="21"/>
                <w:szCs w:val="21"/>
              </w:rPr>
            </w:pPr>
          </w:p>
        </w:tc>
        <w:tc>
          <w:tcPr>
            <w:tcW w:w="1604" w:type="dxa"/>
          </w:tcPr>
          <w:p>
            <w:pPr>
              <w:pStyle w:val="24"/>
              <w:rPr>
                <w:rFonts w:ascii="宋体" w:hAnsi="宋体" w:cs="宋体"/>
                <w:sz w:val="21"/>
                <w:szCs w:val="21"/>
              </w:rPr>
            </w:pPr>
          </w:p>
        </w:tc>
        <w:tc>
          <w:tcPr>
            <w:tcW w:w="1580" w:type="dxa"/>
          </w:tcPr>
          <w:p>
            <w:pPr>
              <w:pStyle w:val="24"/>
              <w:rPr>
                <w:rFonts w:ascii="宋体" w:hAnsi="宋体" w:cs="宋体"/>
                <w:sz w:val="21"/>
                <w:szCs w:val="21"/>
              </w:rPr>
            </w:pPr>
          </w:p>
        </w:tc>
      </w:tr>
    </w:tbl>
    <w:p>
      <w:pPr>
        <w:spacing w:line="400" w:lineRule="exact"/>
        <w:ind w:left="600" w:leftChars="57" w:hanging="480" w:hangingChars="200"/>
        <w:rPr>
          <w:rFonts w:ascii="宋体" w:hAnsi="宋体" w:cs="宋体"/>
          <w:sz w:val="24"/>
        </w:rPr>
      </w:pPr>
      <w:r>
        <w:rPr>
          <w:rFonts w:hint="eastAsia" w:ascii="宋体" w:hAnsi="宋体" w:cs="宋体"/>
          <w:sz w:val="24"/>
        </w:rPr>
        <w:t>注：1. 供应商必须把招标项目的全部技术参数列入此表。</w:t>
      </w:r>
    </w:p>
    <w:p>
      <w:pPr>
        <w:spacing w:line="400" w:lineRule="exact"/>
        <w:ind w:left="598" w:leftChars="285"/>
        <w:rPr>
          <w:rFonts w:ascii="宋体" w:hAnsi="宋体" w:cs="宋体"/>
          <w:sz w:val="24"/>
        </w:rPr>
      </w:pPr>
      <w:r>
        <w:rPr>
          <w:rFonts w:hint="eastAsia" w:ascii="宋体" w:hAnsi="宋体" w:cs="宋体"/>
          <w:sz w:val="24"/>
        </w:rPr>
        <w:t>2．按照招标项目技术要求的顺序对应填写。</w:t>
      </w:r>
    </w:p>
    <w:p>
      <w:pPr>
        <w:spacing w:line="400" w:lineRule="exact"/>
        <w:ind w:left="598" w:leftChars="285"/>
        <w:rPr>
          <w:rFonts w:ascii="宋体" w:hAnsi="宋体" w:cs="宋体"/>
          <w:sz w:val="24"/>
        </w:rPr>
      </w:pPr>
      <w:r>
        <w:rPr>
          <w:rFonts w:hint="eastAsia" w:ascii="宋体" w:hAnsi="宋体" w:cs="宋体"/>
          <w:sz w:val="24"/>
        </w:rPr>
        <w:t>3．供应商必须据实填写，不得虚假响应，否则将取消其投标或中标资格，并按有关规定进行处罚。</w:t>
      </w:r>
    </w:p>
    <w:p>
      <w:pPr>
        <w:adjustRightInd w:val="0"/>
        <w:spacing w:line="400" w:lineRule="exact"/>
        <w:ind w:firstLine="490" w:firstLineChars="175"/>
        <w:jc w:val="left"/>
        <w:rPr>
          <w:rFonts w:ascii="宋体" w:hAnsi="宋体" w:cs="宋体"/>
          <w:bCs/>
          <w:sz w:val="28"/>
          <w:szCs w:val="28"/>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spacing w:line="400" w:lineRule="exact"/>
        <w:ind w:firstLine="360" w:firstLineChars="150"/>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360" w:firstLineChars="150"/>
        <w:rPr>
          <w:rFonts w:ascii="宋体" w:hAnsi="宋体" w:cs="宋体"/>
          <w:bCs/>
          <w:sz w:val="24"/>
        </w:rPr>
      </w:pPr>
      <w:r>
        <w:rPr>
          <w:rFonts w:hint="eastAsia" w:ascii="宋体" w:hAnsi="宋体" w:cs="宋体"/>
          <w:bCs/>
          <w:sz w:val="24"/>
        </w:rPr>
        <w:t>投标日期：</w:t>
      </w:r>
    </w:p>
    <w:p>
      <w:pPr>
        <w:adjustRightInd w:val="0"/>
        <w:spacing w:line="400" w:lineRule="exact"/>
        <w:ind w:firstLine="420" w:firstLineChars="175"/>
        <w:jc w:val="left"/>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pStyle w:val="5"/>
        <w:spacing w:line="400" w:lineRule="exact"/>
        <w:jc w:val="center"/>
        <w:rPr>
          <w:rFonts w:ascii="宋体" w:hAnsi="宋体" w:eastAsia="宋体" w:cs="宋体"/>
          <w:szCs w:val="28"/>
        </w:rPr>
      </w:pPr>
      <w:bookmarkStart w:id="163" w:name="_Toc217446091"/>
      <w:r>
        <w:rPr>
          <w:rFonts w:hint="eastAsia" w:ascii="宋体" w:hAnsi="宋体" w:eastAsia="宋体" w:cs="宋体"/>
          <w:bCs w:val="0"/>
          <w:szCs w:val="28"/>
        </w:rPr>
        <w:t>九、投标人本项目管理、技术、服务人员情况表</w:t>
      </w:r>
      <w:bookmarkEnd w:id="163"/>
    </w:p>
    <w:p>
      <w:pPr>
        <w:spacing w:line="400" w:lineRule="exact"/>
        <w:rPr>
          <w:rFonts w:ascii="宋体" w:hAnsi="宋体" w:cs="宋体"/>
          <w:b/>
          <w:bCs/>
          <w:sz w:val="28"/>
        </w:rPr>
      </w:pPr>
    </w:p>
    <w:p>
      <w:pPr>
        <w:spacing w:line="400" w:lineRule="exact"/>
        <w:rPr>
          <w:rFonts w:ascii="宋体" w:hAnsi="宋体" w:cs="宋体"/>
          <w:bCs/>
          <w:sz w:val="24"/>
        </w:rPr>
      </w:pPr>
      <w:r>
        <w:rPr>
          <w:rFonts w:hint="eastAsia" w:ascii="宋体" w:hAnsi="宋体" w:cs="宋体"/>
          <w:bCs/>
          <w:sz w:val="24"/>
        </w:rPr>
        <w:t xml:space="preserve">招标编号：                                         </w:t>
      </w:r>
    </w:p>
    <w:p>
      <w:pPr>
        <w:spacing w:line="400" w:lineRule="exact"/>
        <w:ind w:firstLine="480" w:firstLineChars="200"/>
        <w:rPr>
          <w:rFonts w:ascii="宋体" w:hAnsi="宋体" w:cs="宋体"/>
          <w:bCs/>
          <w:sz w:val="24"/>
        </w:rPr>
      </w:pPr>
      <w:r>
        <w:rPr>
          <w:rFonts w:hint="eastAsia" w:ascii="宋体" w:hAnsi="宋体" w:cs="宋体"/>
          <w:bCs/>
          <w:sz w:val="24"/>
        </w:rPr>
        <w:t xml:space="preserve">包号：                                       </w:t>
      </w:r>
    </w:p>
    <w:tbl>
      <w:tblPr>
        <w:tblStyle w:val="14"/>
        <w:tblW w:w="7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134"/>
        <w:gridCol w:w="1276"/>
        <w:gridCol w:w="1276"/>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vAlign w:val="center"/>
          </w:tcPr>
          <w:p>
            <w:pPr>
              <w:pStyle w:val="24"/>
              <w:rPr>
                <w:rFonts w:ascii="宋体" w:hAnsi="宋体" w:cs="宋体"/>
                <w:sz w:val="21"/>
                <w:szCs w:val="21"/>
              </w:rPr>
            </w:pPr>
            <w:r>
              <w:rPr>
                <w:rFonts w:hint="eastAsia" w:ascii="宋体" w:hAnsi="宋体" w:cs="宋体"/>
                <w:sz w:val="21"/>
                <w:szCs w:val="21"/>
              </w:rPr>
              <w:t>类别</w:t>
            </w:r>
          </w:p>
        </w:tc>
        <w:tc>
          <w:tcPr>
            <w:tcW w:w="1134" w:type="dxa"/>
            <w:vMerge w:val="restart"/>
            <w:vAlign w:val="center"/>
          </w:tcPr>
          <w:p>
            <w:pPr>
              <w:pStyle w:val="24"/>
              <w:rPr>
                <w:rFonts w:ascii="宋体" w:hAnsi="宋体" w:cs="宋体"/>
                <w:sz w:val="21"/>
                <w:szCs w:val="21"/>
              </w:rPr>
            </w:pPr>
            <w:r>
              <w:rPr>
                <w:rFonts w:hint="eastAsia" w:ascii="宋体" w:hAnsi="宋体" w:cs="宋体"/>
                <w:sz w:val="21"/>
                <w:szCs w:val="21"/>
              </w:rPr>
              <w:t>职务</w:t>
            </w:r>
          </w:p>
        </w:tc>
        <w:tc>
          <w:tcPr>
            <w:tcW w:w="1276" w:type="dxa"/>
            <w:vMerge w:val="restart"/>
            <w:vAlign w:val="center"/>
          </w:tcPr>
          <w:p>
            <w:pPr>
              <w:pStyle w:val="24"/>
              <w:rPr>
                <w:rFonts w:ascii="宋体" w:hAnsi="宋体" w:cs="宋体"/>
                <w:sz w:val="21"/>
                <w:szCs w:val="21"/>
              </w:rPr>
            </w:pPr>
            <w:r>
              <w:rPr>
                <w:rFonts w:hint="eastAsia" w:ascii="宋体" w:hAnsi="宋体" w:cs="宋体"/>
                <w:sz w:val="21"/>
                <w:szCs w:val="21"/>
              </w:rPr>
              <w:t>姓名</w:t>
            </w:r>
          </w:p>
        </w:tc>
        <w:tc>
          <w:tcPr>
            <w:tcW w:w="1276" w:type="dxa"/>
            <w:vMerge w:val="restart"/>
            <w:vAlign w:val="center"/>
          </w:tcPr>
          <w:p>
            <w:pPr>
              <w:pStyle w:val="24"/>
              <w:rPr>
                <w:rFonts w:ascii="宋体" w:hAnsi="宋体" w:cs="宋体"/>
                <w:sz w:val="21"/>
                <w:szCs w:val="21"/>
              </w:rPr>
            </w:pPr>
            <w:r>
              <w:rPr>
                <w:rFonts w:hint="eastAsia" w:ascii="宋体" w:hAnsi="宋体" w:cs="宋体"/>
                <w:sz w:val="21"/>
                <w:szCs w:val="21"/>
              </w:rPr>
              <w:t>职称</w:t>
            </w:r>
          </w:p>
        </w:tc>
        <w:tc>
          <w:tcPr>
            <w:tcW w:w="2147" w:type="dxa"/>
            <w:vMerge w:val="restart"/>
            <w:vAlign w:val="center"/>
          </w:tcPr>
          <w:p>
            <w:pPr>
              <w:pStyle w:val="24"/>
              <w:rPr>
                <w:rFonts w:ascii="宋体" w:hAnsi="宋体" w:cs="宋体"/>
                <w:sz w:val="21"/>
                <w:szCs w:val="21"/>
              </w:rPr>
            </w:pPr>
            <w:r>
              <w:rPr>
                <w:rFonts w:hint="eastAsia" w:ascii="宋体" w:hAnsi="宋体" w:cs="宋体"/>
                <w:sz w:val="21"/>
                <w:szCs w:val="21"/>
              </w:rPr>
              <w:t>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vAlign w:val="center"/>
          </w:tcPr>
          <w:p>
            <w:pPr>
              <w:pStyle w:val="24"/>
              <w:ind w:firstLine="420" w:firstLineChars="200"/>
              <w:rPr>
                <w:rFonts w:ascii="宋体" w:hAnsi="宋体" w:cs="宋体"/>
                <w:sz w:val="21"/>
                <w:szCs w:val="21"/>
              </w:rPr>
            </w:pPr>
          </w:p>
        </w:tc>
        <w:tc>
          <w:tcPr>
            <w:tcW w:w="1134" w:type="dxa"/>
            <w:vMerge w:val="continue"/>
            <w:vAlign w:val="center"/>
          </w:tcPr>
          <w:p>
            <w:pPr>
              <w:pStyle w:val="24"/>
              <w:ind w:firstLine="420" w:firstLineChars="200"/>
              <w:rPr>
                <w:rFonts w:ascii="宋体" w:hAnsi="宋体" w:cs="宋体"/>
                <w:sz w:val="21"/>
                <w:szCs w:val="21"/>
              </w:rPr>
            </w:pPr>
          </w:p>
        </w:tc>
        <w:tc>
          <w:tcPr>
            <w:tcW w:w="1276" w:type="dxa"/>
            <w:vMerge w:val="continue"/>
            <w:vAlign w:val="center"/>
          </w:tcPr>
          <w:p>
            <w:pPr>
              <w:pStyle w:val="24"/>
              <w:ind w:firstLine="420" w:firstLineChars="200"/>
              <w:rPr>
                <w:rFonts w:ascii="宋体" w:hAnsi="宋体" w:cs="宋体"/>
                <w:sz w:val="21"/>
                <w:szCs w:val="21"/>
              </w:rPr>
            </w:pPr>
          </w:p>
        </w:tc>
        <w:tc>
          <w:tcPr>
            <w:tcW w:w="1276" w:type="dxa"/>
            <w:vMerge w:val="continue"/>
            <w:vAlign w:val="center"/>
          </w:tcPr>
          <w:p>
            <w:pPr>
              <w:pStyle w:val="24"/>
              <w:ind w:firstLine="420" w:firstLineChars="200"/>
              <w:rPr>
                <w:rFonts w:ascii="宋体" w:hAnsi="宋体" w:cs="宋体"/>
                <w:sz w:val="21"/>
                <w:szCs w:val="21"/>
              </w:rPr>
            </w:pPr>
          </w:p>
        </w:tc>
        <w:tc>
          <w:tcPr>
            <w:tcW w:w="2147" w:type="dxa"/>
            <w:vMerge w:val="continue"/>
            <w:vAlign w:val="center"/>
          </w:tcPr>
          <w:p>
            <w:pPr>
              <w:pStyle w:val="24"/>
              <w:ind w:firstLine="420" w:firstLineChars="20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24"/>
              <w:rPr>
                <w:rFonts w:ascii="宋体" w:hAnsi="宋体" w:cs="宋体"/>
                <w:sz w:val="21"/>
                <w:szCs w:val="21"/>
              </w:rPr>
            </w:pPr>
            <w:r>
              <w:rPr>
                <w:rFonts w:hint="eastAsia" w:ascii="宋体" w:hAnsi="宋体" w:cs="宋体"/>
                <w:sz w:val="21"/>
                <w:szCs w:val="21"/>
              </w:rPr>
              <w:t>管</w:t>
            </w:r>
          </w:p>
          <w:p>
            <w:pPr>
              <w:pStyle w:val="24"/>
              <w:rPr>
                <w:rFonts w:ascii="宋体" w:hAnsi="宋体" w:cs="宋体"/>
                <w:sz w:val="21"/>
                <w:szCs w:val="21"/>
              </w:rPr>
            </w:pPr>
            <w:r>
              <w:rPr>
                <w:rFonts w:hint="eastAsia" w:ascii="宋体" w:hAnsi="宋体" w:cs="宋体"/>
                <w:sz w:val="21"/>
                <w:szCs w:val="21"/>
              </w:rPr>
              <w:t>理</w:t>
            </w:r>
          </w:p>
          <w:p>
            <w:pPr>
              <w:pStyle w:val="24"/>
              <w:rPr>
                <w:rFonts w:ascii="宋体" w:hAnsi="宋体" w:cs="宋体"/>
                <w:sz w:val="21"/>
                <w:szCs w:val="21"/>
              </w:rPr>
            </w:pPr>
            <w:r>
              <w:rPr>
                <w:rFonts w:hint="eastAsia" w:ascii="宋体" w:hAnsi="宋体" w:cs="宋体"/>
                <w:sz w:val="21"/>
                <w:szCs w:val="21"/>
              </w:rPr>
              <w:t>人</w:t>
            </w:r>
          </w:p>
          <w:p>
            <w:pPr>
              <w:pStyle w:val="24"/>
              <w:rPr>
                <w:rFonts w:ascii="宋体" w:hAnsi="宋体" w:cs="宋体"/>
                <w:sz w:val="21"/>
                <w:szCs w:val="21"/>
              </w:rPr>
            </w:pPr>
            <w:r>
              <w:rPr>
                <w:rFonts w:hint="eastAsia" w:ascii="宋体" w:hAnsi="宋体" w:cs="宋体"/>
                <w:sz w:val="21"/>
                <w:szCs w:val="21"/>
              </w:rPr>
              <w:t>员</w:t>
            </w: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24"/>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24"/>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tcPr>
          <w:p>
            <w:pPr>
              <w:pStyle w:val="24"/>
              <w:rPr>
                <w:rFonts w:ascii="宋体" w:hAnsi="宋体" w:cs="宋体"/>
                <w:sz w:val="21"/>
                <w:szCs w:val="21"/>
              </w:rPr>
            </w:pPr>
            <w:r>
              <w:rPr>
                <w:rFonts w:hint="eastAsia" w:ascii="宋体" w:hAnsi="宋体" w:cs="宋体"/>
                <w:sz w:val="21"/>
                <w:szCs w:val="21"/>
              </w:rPr>
              <w:t>技</w:t>
            </w:r>
          </w:p>
          <w:p>
            <w:pPr>
              <w:pStyle w:val="24"/>
              <w:rPr>
                <w:rFonts w:ascii="宋体" w:hAnsi="宋体" w:cs="宋体"/>
                <w:sz w:val="21"/>
                <w:szCs w:val="21"/>
              </w:rPr>
            </w:pPr>
            <w:r>
              <w:rPr>
                <w:rFonts w:hint="eastAsia" w:ascii="宋体" w:hAnsi="宋体" w:cs="宋体"/>
                <w:sz w:val="21"/>
                <w:szCs w:val="21"/>
              </w:rPr>
              <w:t>术</w:t>
            </w:r>
          </w:p>
          <w:p>
            <w:pPr>
              <w:pStyle w:val="24"/>
              <w:rPr>
                <w:rFonts w:ascii="宋体" w:hAnsi="宋体" w:cs="宋体"/>
                <w:sz w:val="21"/>
                <w:szCs w:val="21"/>
              </w:rPr>
            </w:pPr>
            <w:r>
              <w:rPr>
                <w:rFonts w:hint="eastAsia" w:ascii="宋体" w:hAnsi="宋体" w:cs="宋体"/>
                <w:sz w:val="21"/>
                <w:szCs w:val="21"/>
              </w:rPr>
              <w:t>人</w:t>
            </w:r>
          </w:p>
          <w:p>
            <w:pPr>
              <w:pStyle w:val="24"/>
              <w:rPr>
                <w:rFonts w:ascii="宋体" w:hAnsi="宋体" w:cs="宋体"/>
                <w:sz w:val="21"/>
                <w:szCs w:val="21"/>
              </w:rPr>
            </w:pPr>
            <w:r>
              <w:rPr>
                <w:rFonts w:hint="eastAsia" w:ascii="宋体" w:hAnsi="宋体" w:cs="宋体"/>
                <w:sz w:val="21"/>
                <w:szCs w:val="21"/>
              </w:rPr>
              <w:t>员</w:t>
            </w: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24"/>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24"/>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24"/>
              <w:rPr>
                <w:rFonts w:ascii="宋体" w:hAnsi="宋体" w:cs="宋体"/>
                <w:sz w:val="21"/>
                <w:szCs w:val="21"/>
              </w:rPr>
            </w:pPr>
            <w:r>
              <w:rPr>
                <w:rFonts w:hint="eastAsia" w:ascii="宋体" w:hAnsi="宋体" w:cs="宋体"/>
                <w:sz w:val="21"/>
                <w:szCs w:val="21"/>
              </w:rPr>
              <w:t>售后</w:t>
            </w:r>
          </w:p>
          <w:p>
            <w:pPr>
              <w:pStyle w:val="24"/>
              <w:rPr>
                <w:rFonts w:ascii="宋体" w:hAnsi="宋体" w:cs="宋体"/>
                <w:sz w:val="21"/>
                <w:szCs w:val="21"/>
              </w:rPr>
            </w:pPr>
            <w:r>
              <w:rPr>
                <w:rFonts w:hint="eastAsia" w:ascii="宋体" w:hAnsi="宋体" w:cs="宋体"/>
                <w:sz w:val="21"/>
                <w:szCs w:val="21"/>
              </w:rPr>
              <w:t>服务</w:t>
            </w:r>
          </w:p>
          <w:p>
            <w:pPr>
              <w:pStyle w:val="24"/>
              <w:rPr>
                <w:rFonts w:ascii="宋体" w:hAnsi="宋体" w:cs="宋体"/>
                <w:sz w:val="21"/>
                <w:szCs w:val="21"/>
              </w:rPr>
            </w:pPr>
            <w:r>
              <w:rPr>
                <w:rFonts w:hint="eastAsia" w:ascii="宋体" w:hAnsi="宋体" w:cs="宋体"/>
                <w:sz w:val="21"/>
                <w:szCs w:val="21"/>
              </w:rPr>
              <w:t>人员</w:t>
            </w: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spacing w:line="400" w:lineRule="exact"/>
              <w:jc w:val="center"/>
              <w:rPr>
                <w:rFonts w:ascii="宋体" w:hAnsi="宋体" w:cs="宋体"/>
                <w:sz w:val="28"/>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b/>
                <w:bCs/>
                <w:sz w:val="28"/>
              </w:rPr>
            </w:pPr>
          </w:p>
        </w:tc>
        <w:tc>
          <w:tcPr>
            <w:tcW w:w="1276" w:type="dxa"/>
          </w:tcPr>
          <w:p>
            <w:pPr>
              <w:spacing w:line="400" w:lineRule="exact"/>
              <w:jc w:val="center"/>
              <w:rPr>
                <w:rFonts w:ascii="宋体" w:hAnsi="宋体" w:cs="宋体"/>
                <w:b/>
                <w:bCs/>
                <w:sz w:val="28"/>
              </w:rPr>
            </w:pPr>
          </w:p>
        </w:tc>
        <w:tc>
          <w:tcPr>
            <w:tcW w:w="2147" w:type="dxa"/>
          </w:tcPr>
          <w:p>
            <w:pPr>
              <w:spacing w:line="400" w:lineRule="exact"/>
              <w:jc w:val="center"/>
              <w:rPr>
                <w:rFonts w:ascii="宋体" w:hAnsi="宋体" w:cs="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spacing w:line="400" w:lineRule="exact"/>
              <w:jc w:val="center"/>
              <w:rPr>
                <w:rFonts w:ascii="宋体" w:hAnsi="宋体" w:cs="宋体"/>
                <w:sz w:val="28"/>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b/>
                <w:bCs/>
                <w:sz w:val="28"/>
              </w:rPr>
            </w:pPr>
          </w:p>
        </w:tc>
        <w:tc>
          <w:tcPr>
            <w:tcW w:w="1276" w:type="dxa"/>
          </w:tcPr>
          <w:p>
            <w:pPr>
              <w:spacing w:line="400" w:lineRule="exact"/>
              <w:jc w:val="center"/>
              <w:rPr>
                <w:rFonts w:ascii="宋体" w:hAnsi="宋体" w:cs="宋体"/>
                <w:b/>
                <w:bCs/>
                <w:sz w:val="28"/>
              </w:rPr>
            </w:pPr>
          </w:p>
        </w:tc>
        <w:tc>
          <w:tcPr>
            <w:tcW w:w="2147" w:type="dxa"/>
          </w:tcPr>
          <w:p>
            <w:pPr>
              <w:spacing w:line="400" w:lineRule="exact"/>
              <w:jc w:val="center"/>
              <w:rPr>
                <w:rFonts w:ascii="宋体" w:hAnsi="宋体" w:cs="宋体"/>
                <w:b/>
                <w:bCs/>
                <w:sz w:val="28"/>
              </w:rPr>
            </w:pPr>
          </w:p>
        </w:tc>
      </w:tr>
    </w:tbl>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adjustRightInd w:val="0"/>
        <w:spacing w:line="400" w:lineRule="exact"/>
        <w:ind w:firstLine="900" w:firstLineChars="3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900" w:firstLineChars="3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adjustRightInd w:val="0"/>
        <w:spacing w:line="400" w:lineRule="exact"/>
        <w:ind w:firstLine="900" w:firstLineChars="375"/>
        <w:jc w:val="left"/>
        <w:rPr>
          <w:rFonts w:ascii="宋体" w:hAnsi="宋体" w:cs="宋体"/>
          <w:bCs/>
          <w:sz w:val="24"/>
        </w:rPr>
      </w:pPr>
      <w:r>
        <w:rPr>
          <w:rFonts w:hint="eastAsia" w:ascii="宋体" w:hAnsi="宋体" w:cs="宋体"/>
          <w:bCs/>
          <w:sz w:val="24"/>
        </w:rPr>
        <w:t>投标日期：</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pStyle w:val="4"/>
        <w:spacing w:line="240" w:lineRule="atLeast"/>
        <w:jc w:val="center"/>
        <w:rPr>
          <w:rFonts w:ascii="宋体" w:hAnsi="宋体" w:cs="宋体"/>
          <w:bCs w:val="0"/>
          <w:sz w:val="36"/>
        </w:rPr>
      </w:pPr>
      <w:bookmarkStart w:id="164" w:name="_Toc375898986"/>
      <w:bookmarkStart w:id="165" w:name="_Toc217446092"/>
      <w:r>
        <w:rPr>
          <w:rFonts w:hint="eastAsia" w:ascii="宋体" w:hAnsi="宋体" w:cs="宋体"/>
          <w:bCs w:val="0"/>
          <w:sz w:val="36"/>
        </w:rPr>
        <w:t>第四章 资格证明文件</w:t>
      </w:r>
      <w:bookmarkEnd w:id="164"/>
      <w:bookmarkEnd w:id="165"/>
    </w:p>
    <w:p>
      <w:pPr>
        <w:spacing w:line="400" w:lineRule="exact"/>
        <w:jc w:val="center"/>
        <w:rPr>
          <w:rFonts w:ascii="宋体" w:hAnsi="宋体" w:cs="宋体"/>
        </w:rPr>
      </w:pPr>
    </w:p>
    <w:p>
      <w:pPr>
        <w:pStyle w:val="20"/>
        <w:spacing w:line="400" w:lineRule="exact"/>
        <w:rPr>
          <w:rFonts w:ascii="宋体" w:hAnsi="宋体" w:cs="宋体"/>
          <w:sz w:val="24"/>
          <w:szCs w:val="24"/>
        </w:rPr>
      </w:pPr>
      <w:r>
        <w:rPr>
          <w:rFonts w:hint="eastAsia" w:ascii="宋体" w:hAnsi="宋体" w:cs="宋体"/>
          <w:sz w:val="24"/>
          <w:szCs w:val="24"/>
        </w:rPr>
        <w:t xml:space="preserve">  投标人参加本次投标必须提供以下资格证明文件：</w:t>
      </w:r>
    </w:p>
    <w:p>
      <w:pPr>
        <w:spacing w:line="400" w:lineRule="exact"/>
        <w:rPr>
          <w:rFonts w:ascii="宋体" w:hAnsi="宋体" w:cs="宋体"/>
          <w:sz w:val="24"/>
        </w:rPr>
      </w:pPr>
    </w:p>
    <w:p>
      <w:pPr>
        <w:spacing w:line="400" w:lineRule="exact"/>
        <w:ind w:left="480"/>
        <w:rPr>
          <w:rFonts w:ascii="宋体" w:hAnsi="宋体" w:cs="宋体"/>
          <w:sz w:val="24"/>
        </w:rPr>
      </w:pPr>
      <w:r>
        <w:rPr>
          <w:rFonts w:hint="eastAsia" w:ascii="宋体" w:hAnsi="宋体" w:cs="宋体"/>
          <w:sz w:val="24"/>
        </w:rPr>
        <w:t>1.营业执照副本复印件（注：①在有效期内；②已实行三证合一的只需提供营业执照）；</w:t>
      </w:r>
    </w:p>
    <w:p>
      <w:pPr>
        <w:spacing w:line="400" w:lineRule="exact"/>
        <w:ind w:left="480"/>
        <w:rPr>
          <w:rFonts w:ascii="宋体" w:hAnsi="宋体" w:cs="宋体"/>
          <w:sz w:val="24"/>
        </w:rPr>
      </w:pPr>
      <w:r>
        <w:rPr>
          <w:rFonts w:hint="eastAsia" w:ascii="宋体" w:hAnsi="宋体" w:cs="宋体"/>
          <w:sz w:val="24"/>
        </w:rPr>
        <w:t>2.组织机构代码证副本复印件（注：①在有效期内；②已实行三证合一的只需提供营业执照）；</w:t>
      </w:r>
    </w:p>
    <w:p>
      <w:pPr>
        <w:spacing w:line="400" w:lineRule="exact"/>
        <w:ind w:left="480"/>
        <w:rPr>
          <w:rFonts w:ascii="宋体" w:hAnsi="宋体" w:cs="宋体"/>
          <w:sz w:val="24"/>
        </w:rPr>
      </w:pPr>
      <w:r>
        <w:rPr>
          <w:rFonts w:hint="eastAsia" w:ascii="宋体" w:hAnsi="宋体" w:cs="宋体"/>
          <w:sz w:val="24"/>
        </w:rPr>
        <w:t>3.税务登记证副本复印件（注：①已实行三证合一的只需提供营业执照）；</w:t>
      </w:r>
    </w:p>
    <w:p>
      <w:pPr>
        <w:spacing w:line="400" w:lineRule="exact"/>
        <w:ind w:left="480"/>
        <w:rPr>
          <w:rFonts w:ascii="宋体" w:hAnsi="宋体" w:cs="宋体"/>
          <w:sz w:val="24"/>
        </w:rPr>
      </w:pPr>
      <w:r>
        <w:rPr>
          <w:rFonts w:hint="eastAsia" w:ascii="宋体" w:hAnsi="宋体" w:cs="宋体"/>
          <w:sz w:val="24"/>
        </w:rPr>
        <w:t>4.法定代表人授权书原件（非法定代表人参与投标并签署投标文件时提供）；法定代表人证明书原件（法定代表人直接参与投标并签署投标文件时提供，格式自拟）；</w:t>
      </w:r>
    </w:p>
    <w:p>
      <w:pPr>
        <w:spacing w:line="400" w:lineRule="exact"/>
        <w:rPr>
          <w:rFonts w:ascii="宋体" w:hAnsi="宋体" w:cs="宋体"/>
          <w:sz w:val="24"/>
        </w:rPr>
      </w:pPr>
    </w:p>
    <w:p>
      <w:pPr>
        <w:spacing w:line="400" w:lineRule="exact"/>
        <w:ind w:left="480"/>
        <w:rPr>
          <w:rFonts w:ascii="宋体" w:hAnsi="宋体" w:cs="宋体"/>
          <w:b/>
          <w:sz w:val="24"/>
        </w:rPr>
      </w:pPr>
      <w:r>
        <w:rPr>
          <w:rFonts w:hint="eastAsia" w:ascii="宋体" w:hAnsi="宋体" w:cs="宋体"/>
          <w:b/>
          <w:sz w:val="24"/>
        </w:rPr>
        <w:t>以上要求投标人提供的资格证明文件复印件必须加盖投标人印章（鲜章）。</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br w:type="page"/>
      </w:r>
    </w:p>
    <w:p>
      <w:pPr>
        <w:pStyle w:val="4"/>
        <w:spacing w:line="360" w:lineRule="auto"/>
        <w:jc w:val="center"/>
        <w:rPr>
          <w:rFonts w:ascii="宋体" w:hAnsi="宋体" w:cs="宋体"/>
          <w:bCs w:val="0"/>
          <w:sz w:val="36"/>
        </w:rPr>
      </w:pPr>
      <w:bookmarkStart w:id="166" w:name="_Toc375898987"/>
      <w:bookmarkStart w:id="167" w:name="_Toc217446093"/>
      <w:r>
        <w:rPr>
          <w:rFonts w:hint="eastAsia" w:ascii="宋体" w:hAnsi="宋体" w:cs="宋体"/>
          <w:bCs w:val="0"/>
          <w:sz w:val="36"/>
        </w:rPr>
        <w:t>第五章 招标项目及要求</w:t>
      </w:r>
      <w:bookmarkEnd w:id="166"/>
      <w:bookmarkEnd w:id="167"/>
    </w:p>
    <w:bookmarkEnd w:id="158"/>
    <w:p>
      <w:pPr>
        <w:pStyle w:val="5"/>
        <w:spacing w:line="400" w:lineRule="exact"/>
        <w:ind w:firstLine="236" w:firstLineChars="98"/>
        <w:rPr>
          <w:rFonts w:ascii="宋体" w:hAnsi="宋体" w:eastAsia="宋体" w:cs="宋体"/>
        </w:rPr>
      </w:pPr>
      <w:bookmarkStart w:id="168" w:name="_Toc217446096"/>
      <w:r>
        <w:rPr>
          <w:rFonts w:hint="eastAsia" w:ascii="宋体" w:hAnsi="宋体" w:eastAsia="宋体" w:cs="宋体"/>
          <w:sz w:val="24"/>
          <w:szCs w:val="24"/>
        </w:rPr>
        <w:t>参照第一章第三条的招标内容。</w:t>
      </w:r>
    </w:p>
    <w:p>
      <w:pPr>
        <w:rPr>
          <w:rFonts w:ascii="宋体" w:hAnsi="宋体" w:cs="宋体"/>
          <w:sz w:val="24"/>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pStyle w:val="4"/>
        <w:spacing w:line="240" w:lineRule="atLeast"/>
        <w:jc w:val="center"/>
        <w:rPr>
          <w:rFonts w:ascii="宋体" w:hAnsi="宋体" w:cs="宋体"/>
          <w:bCs w:val="0"/>
          <w:sz w:val="36"/>
        </w:rPr>
      </w:pPr>
      <w:bookmarkStart w:id="169" w:name="_Toc375898988"/>
      <w:bookmarkStart w:id="170" w:name="PO_默认文件内容_12"/>
      <w:r>
        <w:rPr>
          <w:rFonts w:hint="eastAsia" w:ascii="宋体" w:hAnsi="宋体" w:cs="宋体"/>
          <w:bCs w:val="0"/>
          <w:sz w:val="36"/>
        </w:rPr>
        <w:t>第六章  评标办法</w:t>
      </w:r>
      <w:bookmarkEnd w:id="168"/>
      <w:bookmarkEnd w:id="169"/>
      <w:bookmarkStart w:id="171" w:name="_Hlt101846155"/>
      <w:bookmarkEnd w:id="171"/>
      <w:bookmarkStart w:id="172" w:name="_Toc208849007"/>
      <w:bookmarkStart w:id="173" w:name="_Toc217446097"/>
      <w:bookmarkStart w:id="174" w:name="_Toc183582280"/>
      <w:bookmarkStart w:id="175" w:name="_Toc183682415"/>
    </w:p>
    <w:p>
      <w:pPr>
        <w:ind w:firstLine="482" w:firstLineChars="200"/>
        <w:rPr>
          <w:rFonts w:ascii="宋体" w:hAnsi="宋体" w:cs="宋体"/>
          <w:b/>
          <w:sz w:val="24"/>
        </w:rPr>
      </w:pPr>
      <w:r>
        <w:rPr>
          <w:rFonts w:hint="eastAsia" w:ascii="宋体" w:hAnsi="宋体" w:cs="宋体"/>
          <w:b/>
          <w:sz w:val="24"/>
        </w:rPr>
        <w:t>1. 总则</w:t>
      </w:r>
      <w:bookmarkEnd w:id="172"/>
      <w:bookmarkEnd w:id="173"/>
      <w:bookmarkEnd w:id="174"/>
      <w:bookmarkEnd w:id="175"/>
    </w:p>
    <w:p>
      <w:pPr>
        <w:spacing w:line="400" w:lineRule="exact"/>
        <w:ind w:firstLine="480" w:firstLineChars="200"/>
        <w:rPr>
          <w:rFonts w:ascii="宋体" w:hAnsi="宋体" w:cs="宋体"/>
          <w:sz w:val="24"/>
        </w:rPr>
      </w:pPr>
      <w:r>
        <w:rPr>
          <w:rFonts w:hint="eastAsia" w:ascii="宋体" w:hAnsi="宋体" w:cs="宋体"/>
          <w:sz w:val="24"/>
        </w:rPr>
        <w:t>1.1招标方将根据招标货物特点组建评标委员会，采取综合评分法。</w:t>
      </w:r>
    </w:p>
    <w:p>
      <w:pPr>
        <w:spacing w:line="400" w:lineRule="exact"/>
        <w:ind w:firstLine="480" w:firstLineChars="200"/>
        <w:rPr>
          <w:rFonts w:ascii="宋体" w:hAnsi="宋体" w:cs="宋体"/>
          <w:sz w:val="24"/>
        </w:rPr>
      </w:pPr>
      <w:r>
        <w:rPr>
          <w:rFonts w:hint="eastAsia" w:ascii="宋体" w:hAnsi="宋体" w:cs="宋体"/>
          <w:sz w:val="24"/>
        </w:rPr>
        <w:t>1.2 评标工作应遵循公平、公正、科学及择优的原则，并以相同的评标程序和标准对待所有的投标人。</w:t>
      </w:r>
    </w:p>
    <w:p>
      <w:pPr>
        <w:spacing w:line="400" w:lineRule="exact"/>
        <w:ind w:firstLine="480" w:firstLineChars="200"/>
        <w:rPr>
          <w:rFonts w:ascii="宋体" w:hAnsi="宋体" w:cs="宋体"/>
          <w:sz w:val="24"/>
        </w:rPr>
      </w:pPr>
      <w:r>
        <w:rPr>
          <w:rFonts w:hint="eastAsia" w:ascii="宋体" w:hAnsi="宋体" w:cs="宋体"/>
          <w:sz w:val="24"/>
        </w:rPr>
        <w:t>1.3 评标委员会按照招标文件规定的评标方法和标准进行评标，并独立履行下列职责：</w:t>
      </w:r>
    </w:p>
    <w:p>
      <w:pPr>
        <w:spacing w:line="400" w:lineRule="exact"/>
        <w:ind w:firstLine="480"/>
        <w:rPr>
          <w:rFonts w:ascii="宋体" w:hAnsi="宋体" w:cs="宋体"/>
          <w:sz w:val="24"/>
        </w:rPr>
      </w:pPr>
      <w:r>
        <w:rPr>
          <w:rFonts w:hint="eastAsia" w:ascii="宋体" w:hAnsi="宋体" w:cs="宋体"/>
          <w:sz w:val="24"/>
        </w:rPr>
        <w:t>（1）审查投标文件是否符合招标文件要求，并作出评价；</w:t>
      </w:r>
    </w:p>
    <w:p>
      <w:pPr>
        <w:spacing w:line="400" w:lineRule="exact"/>
        <w:ind w:firstLine="480"/>
        <w:rPr>
          <w:rFonts w:ascii="宋体" w:hAnsi="宋体" w:cs="宋体"/>
          <w:sz w:val="24"/>
        </w:rPr>
      </w:pPr>
      <w:r>
        <w:rPr>
          <w:rFonts w:hint="eastAsia" w:ascii="宋体" w:hAnsi="宋体" w:cs="宋体"/>
          <w:sz w:val="24"/>
        </w:rPr>
        <w:t>（2）要求投标供应商对投标文件有关事项作出解释或者澄清；</w:t>
      </w:r>
    </w:p>
    <w:p>
      <w:pPr>
        <w:spacing w:line="400" w:lineRule="exact"/>
        <w:ind w:firstLine="480"/>
        <w:rPr>
          <w:rFonts w:ascii="宋体" w:hAnsi="宋体" w:cs="宋体"/>
          <w:sz w:val="24"/>
        </w:rPr>
      </w:pPr>
      <w:r>
        <w:rPr>
          <w:rFonts w:hint="eastAsia" w:ascii="宋体" w:hAnsi="宋体" w:cs="宋体"/>
          <w:sz w:val="24"/>
        </w:rPr>
        <w:t>（3）推荐中标候选供应商名单，或者受招标人委托按照事先确定的办法直接确定中标供应商；</w:t>
      </w:r>
    </w:p>
    <w:p>
      <w:pPr>
        <w:spacing w:line="400" w:lineRule="exact"/>
        <w:ind w:firstLine="480"/>
        <w:rPr>
          <w:rFonts w:ascii="宋体" w:hAnsi="宋体" w:cs="宋体"/>
          <w:sz w:val="24"/>
        </w:rPr>
      </w:pPr>
      <w:r>
        <w:rPr>
          <w:rFonts w:hint="eastAsia" w:ascii="宋体" w:hAnsi="宋体" w:cs="宋体"/>
          <w:sz w:val="24"/>
        </w:rPr>
        <w:t>（4）向招标采购单位或者有关部门报告非法干预评标工作的行为。</w:t>
      </w:r>
      <w:bookmarkStart w:id="176" w:name="_Toc217446098"/>
    </w:p>
    <w:p>
      <w:pPr>
        <w:spacing w:line="400" w:lineRule="exact"/>
        <w:ind w:firstLine="482" w:firstLineChars="200"/>
        <w:rPr>
          <w:rFonts w:ascii="宋体" w:hAnsi="宋体" w:cs="宋体"/>
          <w:b/>
          <w:sz w:val="24"/>
        </w:rPr>
      </w:pPr>
      <w:r>
        <w:rPr>
          <w:rFonts w:hint="eastAsia" w:ascii="宋体" w:hAnsi="宋体" w:cs="宋体"/>
          <w:b/>
          <w:sz w:val="24"/>
        </w:rPr>
        <w:t>2. 评标程序</w:t>
      </w:r>
      <w:bookmarkEnd w:id="176"/>
    </w:p>
    <w:p>
      <w:pPr>
        <w:spacing w:line="400" w:lineRule="exact"/>
        <w:ind w:firstLine="480"/>
        <w:rPr>
          <w:rFonts w:ascii="宋体" w:hAnsi="宋体" w:cs="宋体"/>
          <w:sz w:val="24"/>
        </w:rPr>
      </w:pPr>
      <w:bookmarkStart w:id="177" w:name="_Toc217446099"/>
      <w:r>
        <w:rPr>
          <w:rFonts w:hint="eastAsia" w:ascii="宋体" w:hAnsi="宋体" w:cs="宋体"/>
          <w:sz w:val="24"/>
        </w:rPr>
        <w:t>2.1投标文件初审。初审分为资格性检查和符合性检查。</w:t>
      </w:r>
    </w:p>
    <w:p>
      <w:pPr>
        <w:spacing w:line="400" w:lineRule="exact"/>
        <w:ind w:firstLine="480"/>
        <w:rPr>
          <w:rFonts w:ascii="宋体" w:hAnsi="宋体" w:cs="宋体"/>
          <w:sz w:val="24"/>
        </w:rPr>
      </w:pPr>
      <w:r>
        <w:rPr>
          <w:rFonts w:hint="eastAsia" w:ascii="宋体" w:hAnsi="宋体" w:cs="宋体"/>
          <w:sz w:val="24"/>
        </w:rPr>
        <w:t>2.1.1资格性检查。依据法律法规和招标文件的规定，对投标文件中的资格证明、投标保证金等进行审查，以确定投标供应商是否具备投标资格。</w:t>
      </w:r>
    </w:p>
    <w:p>
      <w:pPr>
        <w:spacing w:line="400" w:lineRule="exact"/>
        <w:ind w:firstLine="480"/>
        <w:rPr>
          <w:rFonts w:ascii="宋体" w:hAnsi="宋体" w:cs="宋体"/>
          <w:sz w:val="24"/>
        </w:rPr>
      </w:pPr>
      <w:r>
        <w:rPr>
          <w:rFonts w:hint="eastAsia" w:ascii="宋体" w:hAnsi="宋体" w:cs="宋体"/>
          <w:sz w:val="24"/>
        </w:rPr>
        <w:t>2.1.2符合性检查。依据招标文件的规定，从投标文件的有效性、完整性和对招标文件的响应程度进行审查，以确定是否对招标文件的实质性要求作出响应。</w:t>
      </w:r>
    </w:p>
    <w:p>
      <w:pPr>
        <w:spacing w:line="400" w:lineRule="exact"/>
        <w:ind w:firstLine="480"/>
        <w:rPr>
          <w:rFonts w:ascii="宋体" w:hAnsi="宋体" w:cs="宋体"/>
          <w:sz w:val="24"/>
        </w:rPr>
      </w:pPr>
      <w:r>
        <w:rPr>
          <w:rFonts w:hint="eastAsia" w:ascii="宋体" w:hAnsi="宋体" w:cs="宋体"/>
          <w:sz w:val="24"/>
        </w:rPr>
        <w:t>2.2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400" w:lineRule="exact"/>
        <w:ind w:firstLine="480"/>
        <w:rPr>
          <w:rFonts w:ascii="宋体" w:hAnsi="宋体" w:cs="宋体"/>
          <w:sz w:val="24"/>
        </w:rPr>
      </w:pPr>
      <w:r>
        <w:rPr>
          <w:rFonts w:hint="eastAsia" w:ascii="宋体" w:hAnsi="宋体" w:cs="宋体"/>
          <w:sz w:val="24"/>
        </w:rPr>
        <w:t>2.3比较与评价。按招标文件中规定的评标方法和标准，对资格性检查和符合性检查合格的投标文件进行商务和技术评估，综合比较与评价。</w:t>
      </w:r>
    </w:p>
    <w:p>
      <w:pPr>
        <w:spacing w:line="400" w:lineRule="exact"/>
        <w:ind w:firstLine="480"/>
        <w:rPr>
          <w:rFonts w:ascii="宋体" w:hAnsi="宋体" w:cs="宋体"/>
          <w:sz w:val="24"/>
        </w:rPr>
      </w:pPr>
      <w:r>
        <w:rPr>
          <w:rFonts w:hint="eastAsia" w:ascii="宋体" w:hAnsi="宋体" w:cs="宋体"/>
          <w:sz w:val="24"/>
        </w:rPr>
        <w:t>2.4推荐中标候选供应商名单。中标候选供应商数量应当根据采购需要确定，但必须按顺序排列中标候选供应商。</w:t>
      </w:r>
    </w:p>
    <w:p>
      <w:pPr>
        <w:spacing w:line="400" w:lineRule="exact"/>
        <w:ind w:firstLine="480"/>
        <w:rPr>
          <w:rFonts w:ascii="宋体" w:hAnsi="宋体" w:cs="宋体"/>
          <w:sz w:val="24"/>
        </w:rPr>
      </w:pPr>
      <w:r>
        <w:rPr>
          <w:rFonts w:hint="eastAsia" w:ascii="宋体" w:hAnsi="宋体" w:cs="宋体"/>
          <w:sz w:val="24"/>
        </w:rPr>
        <w:t>2.5编写评标报告。评标报告是评标委员会根据全体评标成员签字的原始评标记录和评标结果编写的报告。</w:t>
      </w:r>
    </w:p>
    <w:p>
      <w:pPr>
        <w:pStyle w:val="5"/>
        <w:spacing w:line="400" w:lineRule="exact"/>
        <w:ind w:firstLine="482" w:firstLineChars="200"/>
        <w:rPr>
          <w:rFonts w:ascii="宋体" w:hAnsi="宋体" w:eastAsia="宋体" w:cs="宋体"/>
          <w:sz w:val="24"/>
          <w:szCs w:val="24"/>
        </w:rPr>
      </w:pPr>
      <w:r>
        <w:rPr>
          <w:rFonts w:hint="eastAsia" w:ascii="宋体" w:hAnsi="宋体" w:eastAsia="宋体" w:cs="宋体"/>
          <w:sz w:val="24"/>
          <w:szCs w:val="24"/>
        </w:rPr>
        <w:t>3. 定标及定标程序</w:t>
      </w:r>
      <w:bookmarkEnd w:id="177"/>
    </w:p>
    <w:p>
      <w:pPr>
        <w:spacing w:line="400" w:lineRule="exact"/>
        <w:ind w:firstLine="480" w:firstLineChars="200"/>
        <w:rPr>
          <w:rFonts w:ascii="宋体" w:hAnsi="宋体" w:cs="宋体"/>
          <w:sz w:val="24"/>
        </w:rPr>
      </w:pPr>
      <w:r>
        <w:rPr>
          <w:rFonts w:hint="eastAsia" w:ascii="宋体" w:hAnsi="宋体" w:cs="宋体"/>
          <w:sz w:val="24"/>
        </w:rPr>
        <w:t xml:space="preserve"> 3.1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80" w:firstLineChars="200"/>
        <w:rPr>
          <w:rFonts w:ascii="宋体" w:hAnsi="宋体" w:cs="宋体"/>
          <w:sz w:val="24"/>
        </w:rPr>
      </w:pPr>
      <w:r>
        <w:rPr>
          <w:rFonts w:hint="eastAsia" w:ascii="宋体" w:hAnsi="宋体" w:cs="宋体"/>
          <w:sz w:val="24"/>
        </w:rPr>
        <w:t>3.2 招标人在完成评标报告后五个工作日内，按照评标报告中推荐的中标候选人顺序确定中标人。</w:t>
      </w:r>
    </w:p>
    <w:p>
      <w:pPr>
        <w:spacing w:line="400" w:lineRule="exact"/>
        <w:ind w:firstLine="480" w:firstLineChars="200"/>
        <w:rPr>
          <w:rFonts w:ascii="宋体" w:hAnsi="宋体" w:cs="宋体"/>
          <w:sz w:val="24"/>
        </w:rPr>
      </w:pPr>
      <w:r>
        <w:rPr>
          <w:rFonts w:hint="eastAsia" w:ascii="宋体" w:hAnsi="宋体" w:cs="宋体"/>
          <w:sz w:val="24"/>
        </w:rPr>
        <w:t>注意，招标人按照推荐的中标候选人顺序确定中标人，不能认为招标人只能确定第一中标候选人为中标人，招标人有正当理由的，可以确定后一顺序中标候选人为中标人，依次类推。</w:t>
      </w:r>
    </w:p>
    <w:p>
      <w:pPr>
        <w:spacing w:line="400" w:lineRule="exact"/>
        <w:ind w:firstLine="480" w:firstLineChars="200"/>
        <w:rPr>
          <w:rFonts w:ascii="宋体" w:hAnsi="宋体" w:cs="宋体"/>
          <w:sz w:val="24"/>
        </w:rPr>
      </w:pPr>
      <w:r>
        <w:rPr>
          <w:rFonts w:hint="eastAsia" w:ascii="宋体" w:hAnsi="宋体" w:cs="宋体"/>
          <w:sz w:val="24"/>
        </w:rPr>
        <w:t>3.3根据招标人确定的中标人，并在重庆交通职业学院官网上发布中标候选人公示，公示期结束后，向中标人发出中标通知书。</w:t>
      </w:r>
    </w:p>
    <w:p>
      <w:pPr>
        <w:spacing w:line="400" w:lineRule="exact"/>
        <w:rPr>
          <w:rFonts w:ascii="宋体" w:hAnsi="宋体" w:cs="宋体"/>
          <w:sz w:val="24"/>
        </w:rPr>
      </w:pPr>
      <w:bookmarkStart w:id="178" w:name="_Toc217446101"/>
      <w:r>
        <w:rPr>
          <w:rFonts w:hint="eastAsia" w:ascii="宋体" w:hAnsi="宋体" w:cs="宋体"/>
          <w:sz w:val="24"/>
        </w:rPr>
        <w:t xml:space="preserve">    3.4 招标采购单位不解释中标或落标原因，不退回投标文件和其他投标资料。</w:t>
      </w:r>
    </w:p>
    <w:p>
      <w:pPr>
        <w:pStyle w:val="5"/>
        <w:spacing w:line="400" w:lineRule="exact"/>
        <w:ind w:firstLine="482" w:firstLineChars="200"/>
        <w:rPr>
          <w:rFonts w:ascii="宋体" w:hAnsi="宋体" w:eastAsia="宋体" w:cs="宋体"/>
          <w:sz w:val="24"/>
        </w:rPr>
      </w:pPr>
      <w:r>
        <w:rPr>
          <w:rFonts w:hint="eastAsia" w:ascii="宋体" w:hAnsi="宋体" w:eastAsia="宋体" w:cs="宋体"/>
          <w:sz w:val="24"/>
        </w:rPr>
        <w:t>4. 评标方法</w:t>
      </w:r>
      <w:bookmarkEnd w:id="178"/>
    </w:p>
    <w:p>
      <w:pPr>
        <w:pStyle w:val="7"/>
        <w:spacing w:line="400" w:lineRule="exact"/>
        <w:ind w:firstLine="120" w:firstLineChars="50"/>
        <w:rPr>
          <w:rFonts w:ascii="宋体" w:hAnsi="宋体" w:cs="宋体"/>
          <w:sz w:val="24"/>
        </w:rPr>
      </w:pPr>
      <w:r>
        <w:rPr>
          <w:rFonts w:hint="eastAsia" w:ascii="宋体" w:hAnsi="宋体" w:cs="宋体"/>
          <w:sz w:val="24"/>
        </w:rPr>
        <w:t>（见投标人须知前附表）</w:t>
      </w:r>
    </w:p>
    <w:p>
      <w:pPr>
        <w:pStyle w:val="5"/>
        <w:spacing w:line="400" w:lineRule="exact"/>
        <w:ind w:firstLine="482" w:firstLineChars="200"/>
        <w:rPr>
          <w:rFonts w:ascii="宋体" w:hAnsi="宋体" w:eastAsia="宋体" w:cs="宋体"/>
          <w:sz w:val="24"/>
        </w:rPr>
      </w:pPr>
      <w:bookmarkStart w:id="179" w:name="_Toc217446103"/>
      <w:r>
        <w:rPr>
          <w:rFonts w:hint="eastAsia" w:ascii="宋体" w:hAnsi="宋体" w:eastAsia="宋体" w:cs="宋体"/>
          <w:sz w:val="24"/>
        </w:rPr>
        <w:t>5. 评标细则及标准（综合评分法）</w:t>
      </w:r>
      <w:bookmarkEnd w:id="179"/>
    </w:p>
    <w:p>
      <w:pPr>
        <w:spacing w:line="400" w:lineRule="exact"/>
        <w:ind w:firstLine="480" w:firstLineChars="200"/>
        <w:rPr>
          <w:rFonts w:ascii="宋体" w:hAnsi="宋体" w:cs="宋体"/>
          <w:sz w:val="24"/>
        </w:rPr>
      </w:pPr>
      <w:r>
        <w:rPr>
          <w:rFonts w:hint="eastAsia" w:ascii="宋体" w:hAnsi="宋体" w:cs="宋体"/>
          <w:sz w:val="24"/>
        </w:rPr>
        <w:t>5.1 本次综合评分的主要因素是：详见综合评分表。</w:t>
      </w:r>
    </w:p>
    <w:p>
      <w:pPr>
        <w:spacing w:line="400" w:lineRule="exact"/>
        <w:ind w:firstLine="480" w:firstLineChars="200"/>
        <w:rPr>
          <w:rFonts w:ascii="宋体" w:hAnsi="宋体" w:cs="宋体"/>
          <w:sz w:val="24"/>
        </w:rPr>
      </w:pPr>
      <w:r>
        <w:rPr>
          <w:rFonts w:hint="eastAsia" w:ascii="宋体" w:hAnsi="宋体" w:cs="宋体"/>
          <w:sz w:val="24"/>
        </w:rPr>
        <w:t>5.2 除价格因素外，评委会成员应依据投标文件规定的评分标准和方法独立对其他因素进行比较打分。</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5.3 在评标过程中，投标文件响应招标文件出现的偏离，分为实质性偏离和非实质性偏离。</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5.3.1实质性偏离是指投标文件未能实质响应招标文件的要求。以下情况属于重大偏离：</w:t>
      </w:r>
    </w:p>
    <w:p>
      <w:pPr>
        <w:spacing w:line="400" w:lineRule="exact"/>
        <w:ind w:firstLine="480" w:firstLineChars="200"/>
        <w:rPr>
          <w:rFonts w:ascii="宋体" w:hAnsi="宋体" w:cs="宋体"/>
          <w:sz w:val="24"/>
        </w:rPr>
      </w:pPr>
      <w:r>
        <w:rPr>
          <w:rFonts w:hint="eastAsia" w:ascii="宋体" w:hAnsi="宋体" w:cs="宋体"/>
          <w:sz w:val="24"/>
        </w:rPr>
        <w:t>（1）未按招标文件要求提交投标保证金；</w:t>
      </w:r>
    </w:p>
    <w:p>
      <w:pPr>
        <w:spacing w:line="400" w:lineRule="exact"/>
        <w:ind w:firstLine="480" w:firstLineChars="200"/>
        <w:rPr>
          <w:rFonts w:ascii="宋体" w:hAnsi="宋体" w:cs="宋体"/>
          <w:sz w:val="24"/>
        </w:rPr>
      </w:pPr>
      <w:r>
        <w:rPr>
          <w:rFonts w:hint="eastAsia" w:ascii="宋体" w:hAnsi="宋体" w:cs="宋体"/>
          <w:sz w:val="24"/>
        </w:rPr>
        <w:t>（2）投标函、法定代表人授权委托书、开标一览表没有按招标文件的规定和要求签字或盖章；</w:t>
      </w:r>
    </w:p>
    <w:p>
      <w:pPr>
        <w:spacing w:line="400" w:lineRule="exact"/>
        <w:ind w:firstLine="480" w:firstLineChars="200"/>
        <w:rPr>
          <w:rFonts w:ascii="宋体" w:hAnsi="宋体" w:cs="宋体"/>
          <w:sz w:val="24"/>
        </w:rPr>
      </w:pPr>
      <w:r>
        <w:rPr>
          <w:rFonts w:hint="eastAsia" w:ascii="宋体" w:hAnsi="宋体" w:cs="宋体"/>
          <w:sz w:val="24"/>
        </w:rPr>
        <w:t>（3）投标文件中附有招标人不能接受的条件；</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（4）投标产品的技术规格、技术标准明显不符合招标项目的要求；</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（5）不符合招标文件规定的其他实质性要求。</w:t>
      </w:r>
    </w:p>
    <w:p>
      <w:pPr>
        <w:pStyle w:val="8"/>
        <w:tabs>
          <w:tab w:val="left" w:pos="0"/>
        </w:tabs>
        <w:spacing w:line="400" w:lineRule="exact"/>
        <w:ind w:firstLine="480" w:firstLineChars="200"/>
        <w:rPr>
          <w:rFonts w:ascii="宋体" w:hAnsi="宋体" w:cs="宋体"/>
          <w:sz w:val="24"/>
        </w:rPr>
      </w:pPr>
      <w:r>
        <w:rPr>
          <w:rFonts w:hint="eastAsia" w:ascii="宋体" w:hAnsi="宋体" w:cs="宋体"/>
          <w:sz w:val="24"/>
        </w:rPr>
        <w:t>投标文件有上述情形之一的，作无效投标处理。</w:t>
      </w:r>
    </w:p>
    <w:p>
      <w:pPr>
        <w:spacing w:line="400" w:lineRule="exact"/>
        <w:ind w:firstLine="480" w:firstLineChars="200"/>
        <w:rPr>
          <w:rFonts w:ascii="宋体" w:hAnsi="宋体" w:cs="宋体"/>
          <w:sz w:val="24"/>
        </w:rPr>
      </w:pPr>
      <w:r>
        <w:rPr>
          <w:rFonts w:hint="eastAsia" w:ascii="宋体" w:hAnsi="宋体" w:cs="宋体"/>
          <w:sz w:val="24"/>
        </w:rPr>
        <w:t>5.3.2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400" w:lineRule="exact"/>
        <w:ind w:firstLine="480" w:firstLineChars="200"/>
        <w:rPr>
          <w:rFonts w:ascii="宋体" w:hAnsi="宋体" w:cs="宋体"/>
          <w:sz w:val="24"/>
        </w:rPr>
      </w:pPr>
      <w:r>
        <w:rPr>
          <w:rFonts w:hint="eastAsia" w:ascii="宋体" w:hAnsi="宋体" w:cs="宋体"/>
          <w:sz w:val="24"/>
        </w:rPr>
        <w:t>（1） 文字表述的内容含义不明确；</w:t>
      </w:r>
    </w:p>
    <w:p>
      <w:pPr>
        <w:spacing w:line="400" w:lineRule="exact"/>
        <w:ind w:firstLine="480" w:firstLineChars="200"/>
        <w:rPr>
          <w:rFonts w:ascii="宋体" w:hAnsi="宋体" w:cs="宋体"/>
          <w:sz w:val="24"/>
        </w:rPr>
      </w:pPr>
      <w:r>
        <w:rPr>
          <w:rFonts w:hint="eastAsia" w:ascii="宋体" w:hAnsi="宋体" w:cs="宋体"/>
          <w:sz w:val="24"/>
        </w:rPr>
        <w:t>（2） 同类问题表述不一致；</w:t>
      </w:r>
    </w:p>
    <w:p>
      <w:pPr>
        <w:spacing w:line="400" w:lineRule="exact"/>
        <w:ind w:firstLine="480" w:firstLineChars="200"/>
        <w:rPr>
          <w:rFonts w:ascii="宋体" w:hAnsi="宋体" w:cs="宋体"/>
          <w:sz w:val="24"/>
        </w:rPr>
      </w:pPr>
      <w:r>
        <w:rPr>
          <w:rFonts w:hint="eastAsia" w:ascii="宋体" w:hAnsi="宋体" w:cs="宋体"/>
          <w:sz w:val="24"/>
        </w:rPr>
        <w:t>（3） 有明显文字和计算错误；</w:t>
      </w:r>
    </w:p>
    <w:p>
      <w:pPr>
        <w:spacing w:line="400" w:lineRule="exact"/>
        <w:ind w:firstLine="480" w:firstLineChars="200"/>
        <w:rPr>
          <w:rFonts w:ascii="宋体" w:hAnsi="宋体" w:cs="宋体"/>
          <w:sz w:val="24"/>
        </w:rPr>
      </w:pPr>
      <w:r>
        <w:rPr>
          <w:rFonts w:hint="eastAsia" w:ascii="宋体" w:hAnsi="宋体" w:cs="宋体"/>
          <w:sz w:val="24"/>
        </w:rPr>
        <w:t>（4） 提供的技术信息和数据资料不完整；</w:t>
      </w:r>
    </w:p>
    <w:p>
      <w:pPr>
        <w:spacing w:line="400" w:lineRule="exact"/>
        <w:ind w:firstLine="480" w:firstLineChars="200"/>
        <w:rPr>
          <w:rFonts w:ascii="宋体" w:hAnsi="宋体" w:cs="宋体"/>
          <w:sz w:val="24"/>
        </w:rPr>
      </w:pPr>
      <w:r>
        <w:rPr>
          <w:rFonts w:hint="eastAsia" w:ascii="宋体" w:hAnsi="宋体" w:cs="宋体"/>
          <w:sz w:val="24"/>
        </w:rPr>
        <w:t>（5） 评标委员会认定的其他非实质性偏离。</w:t>
      </w:r>
    </w:p>
    <w:p>
      <w:pPr>
        <w:tabs>
          <w:tab w:val="left" w:pos="7665"/>
        </w:tabs>
        <w:spacing w:line="400" w:lineRule="exact"/>
        <w:ind w:firstLine="480" w:firstLineChars="200"/>
        <w:rPr>
          <w:rFonts w:ascii="宋体" w:hAnsi="宋体" w:cs="宋体"/>
          <w:sz w:val="24"/>
        </w:rPr>
      </w:pPr>
      <w:r>
        <w:rPr>
          <w:rFonts w:hint="eastAsia" w:ascii="宋体" w:hAnsi="宋体" w:cs="宋体"/>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5.4 在投标文件初审过程中，如果出现评标委员会成员意见不一致的情况，按照少数服从多数的原则确定。</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5.5综合评分明细表</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5.5.1综合评分明细表的制定以科学合理、降低评标委员会自由裁量权为原则。</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5.5.2综合评分明细表</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352"/>
        <w:gridCol w:w="578"/>
        <w:gridCol w:w="514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宋体" w:hAnsi="宋体" w:cs="宋体"/>
                <w:sz w:val="24"/>
              </w:rPr>
            </w:pPr>
            <w:r>
              <w:rPr>
                <w:rFonts w:hint="eastAsia" w:ascii="宋体" w:hAnsi="宋体" w:cs="宋体"/>
                <w:sz w:val="24"/>
              </w:rPr>
              <w:t>序号</w:t>
            </w:r>
          </w:p>
        </w:tc>
        <w:tc>
          <w:tcPr>
            <w:tcW w:w="1352" w:type="dxa"/>
            <w:vAlign w:val="center"/>
          </w:tcPr>
          <w:p>
            <w:pPr>
              <w:spacing w:line="400" w:lineRule="exact"/>
              <w:ind w:firstLine="28"/>
              <w:jc w:val="center"/>
              <w:rPr>
                <w:rFonts w:ascii="宋体" w:hAnsi="宋体" w:cs="宋体"/>
                <w:sz w:val="24"/>
              </w:rPr>
            </w:pPr>
            <w:r>
              <w:rPr>
                <w:rFonts w:hint="eastAsia" w:ascii="宋体" w:hAnsi="宋体" w:cs="宋体"/>
                <w:sz w:val="24"/>
              </w:rPr>
              <w:t>评分因素</w:t>
            </w:r>
          </w:p>
          <w:p>
            <w:pPr>
              <w:spacing w:line="400" w:lineRule="exact"/>
              <w:ind w:firstLine="28"/>
              <w:jc w:val="center"/>
              <w:rPr>
                <w:rFonts w:ascii="宋体" w:hAnsi="宋体" w:cs="宋体"/>
                <w:sz w:val="24"/>
              </w:rPr>
            </w:pPr>
            <w:r>
              <w:rPr>
                <w:rFonts w:hint="eastAsia" w:ascii="宋体" w:hAnsi="宋体" w:cs="宋体"/>
                <w:sz w:val="24"/>
              </w:rPr>
              <w:t>及权重</w:t>
            </w:r>
          </w:p>
        </w:tc>
        <w:tc>
          <w:tcPr>
            <w:tcW w:w="578" w:type="dxa"/>
            <w:vAlign w:val="center"/>
          </w:tcPr>
          <w:p>
            <w:pPr>
              <w:spacing w:line="400" w:lineRule="exact"/>
              <w:ind w:firstLine="28"/>
              <w:jc w:val="center"/>
              <w:rPr>
                <w:rFonts w:ascii="宋体" w:hAnsi="宋体" w:cs="宋体"/>
                <w:sz w:val="24"/>
              </w:rPr>
            </w:pPr>
            <w:r>
              <w:rPr>
                <w:rFonts w:hint="eastAsia" w:ascii="宋体" w:hAnsi="宋体" w:cs="宋体"/>
                <w:sz w:val="24"/>
              </w:rPr>
              <w:t>分　值</w:t>
            </w:r>
          </w:p>
        </w:tc>
        <w:tc>
          <w:tcPr>
            <w:tcW w:w="5140" w:type="dxa"/>
            <w:vAlign w:val="center"/>
          </w:tcPr>
          <w:p>
            <w:pPr>
              <w:spacing w:line="400" w:lineRule="exact"/>
              <w:ind w:firstLine="28"/>
              <w:jc w:val="center"/>
              <w:rPr>
                <w:rFonts w:ascii="宋体" w:hAnsi="宋体" w:cs="宋体"/>
                <w:sz w:val="24"/>
              </w:rPr>
            </w:pPr>
            <w:r>
              <w:rPr>
                <w:rFonts w:hint="eastAsia" w:ascii="宋体" w:hAnsi="宋体" w:cs="宋体"/>
                <w:sz w:val="24"/>
              </w:rPr>
              <w:t>评分标准</w:t>
            </w:r>
          </w:p>
        </w:tc>
        <w:tc>
          <w:tcPr>
            <w:tcW w:w="920" w:type="dxa"/>
            <w:vAlign w:val="center"/>
          </w:tcPr>
          <w:p>
            <w:pPr>
              <w:spacing w:line="400" w:lineRule="exact"/>
              <w:jc w:val="center"/>
              <w:rPr>
                <w:rFonts w:ascii="宋体" w:hAnsi="宋体" w:cs="宋体"/>
                <w:sz w:val="24"/>
              </w:rPr>
            </w:pPr>
            <w:r>
              <w:rPr>
                <w:rFonts w:hint="eastAsia" w:ascii="宋体" w:hAnsi="宋体" w:cs="宋体"/>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宋体" w:hAnsi="宋体" w:cs="宋体"/>
                <w:sz w:val="24"/>
              </w:rPr>
            </w:pPr>
            <w:r>
              <w:rPr>
                <w:rFonts w:hint="eastAsia" w:ascii="宋体" w:hAnsi="宋体" w:cs="宋体"/>
                <w:sz w:val="24"/>
              </w:rPr>
              <w:t>1</w:t>
            </w:r>
          </w:p>
        </w:tc>
        <w:tc>
          <w:tcPr>
            <w:tcW w:w="1352" w:type="dxa"/>
            <w:vAlign w:val="center"/>
          </w:tcPr>
          <w:p>
            <w:pPr>
              <w:spacing w:line="400" w:lineRule="exact"/>
              <w:rPr>
                <w:rFonts w:ascii="宋体" w:hAnsi="宋体" w:cs="宋体"/>
                <w:sz w:val="24"/>
              </w:rPr>
            </w:pPr>
            <w:r>
              <w:rPr>
                <w:rFonts w:hint="eastAsia" w:ascii="宋体" w:hAnsi="宋体" w:cs="宋体"/>
                <w:sz w:val="24"/>
              </w:rPr>
              <w:t>报价60%</w:t>
            </w:r>
          </w:p>
        </w:tc>
        <w:tc>
          <w:tcPr>
            <w:tcW w:w="578" w:type="dxa"/>
            <w:vAlign w:val="center"/>
          </w:tcPr>
          <w:p>
            <w:pPr>
              <w:spacing w:line="400" w:lineRule="exact"/>
              <w:jc w:val="center"/>
              <w:rPr>
                <w:rFonts w:ascii="宋体" w:hAnsi="宋体" w:cs="宋体"/>
                <w:sz w:val="24"/>
              </w:rPr>
            </w:pPr>
            <w:r>
              <w:rPr>
                <w:rFonts w:hint="eastAsia" w:ascii="宋体" w:hAnsi="宋体" w:cs="宋体"/>
                <w:sz w:val="24"/>
              </w:rPr>
              <w:t>60</w:t>
            </w:r>
          </w:p>
        </w:tc>
        <w:tc>
          <w:tcPr>
            <w:tcW w:w="5140" w:type="dxa"/>
            <w:vAlign w:val="center"/>
          </w:tcPr>
          <w:p>
            <w:pPr>
              <w:spacing w:line="400" w:lineRule="exact"/>
              <w:rPr>
                <w:rFonts w:ascii="宋体" w:hAnsi="宋体" w:cs="宋体"/>
                <w:sz w:val="24"/>
              </w:rPr>
            </w:pPr>
            <w:r>
              <w:rPr>
                <w:rFonts w:hint="eastAsia" w:ascii="宋体" w:hAnsi="宋体" w:cs="宋体"/>
                <w:sz w:val="24"/>
              </w:rPr>
              <w:t>以</w:t>
            </w:r>
            <w:r>
              <w:rPr>
                <w:rFonts w:hint="eastAsia" w:ascii="宋体" w:hAnsi="宋体" w:cs="宋体"/>
                <w:snapToGrid w:val="0"/>
                <w:sz w:val="24"/>
              </w:rPr>
              <w:t>进入评分</w:t>
            </w:r>
            <w:r>
              <w:rPr>
                <w:rFonts w:hint="eastAsia" w:ascii="宋体" w:hAnsi="宋体" w:cs="宋体"/>
                <w:sz w:val="24"/>
              </w:rPr>
              <w:t>的</w:t>
            </w:r>
            <w:r>
              <w:rPr>
                <w:rFonts w:hint="eastAsia" w:ascii="宋体" w:hAnsi="宋体" w:cs="宋体"/>
                <w:snapToGrid w:val="0"/>
                <w:sz w:val="24"/>
              </w:rPr>
              <w:t>有效投标人评标价的平均值</w:t>
            </w:r>
            <w:r>
              <w:rPr>
                <w:rFonts w:hint="eastAsia" w:ascii="宋体" w:hAnsi="宋体" w:cs="宋体"/>
                <w:sz w:val="24"/>
              </w:rPr>
              <w:t>为基准价，</w:t>
            </w:r>
            <w:r>
              <w:rPr>
                <w:rFonts w:hint="eastAsia" w:ascii="宋体" w:hAnsi="宋体" w:cs="宋体"/>
                <w:snapToGrid w:val="0"/>
                <w:sz w:val="24"/>
              </w:rPr>
              <w:t>得50分，其它投标人的</w:t>
            </w:r>
            <w:r>
              <w:rPr>
                <w:rFonts w:hint="eastAsia" w:ascii="宋体" w:hAnsi="宋体" w:cs="宋体"/>
                <w:sz w:val="24"/>
              </w:rPr>
              <w:t>投标报价得分</w:t>
            </w:r>
            <w:r>
              <w:rPr>
                <w:rFonts w:hint="eastAsia" w:ascii="宋体" w:hAnsi="宋体" w:cs="宋体"/>
                <w:snapToGrid w:val="0"/>
                <w:sz w:val="24"/>
              </w:rPr>
              <w:t>＝（</w:t>
            </w:r>
            <w:r>
              <w:rPr>
                <w:rFonts w:hint="eastAsia" w:ascii="宋体" w:hAnsi="宋体" w:cs="宋体"/>
                <w:sz w:val="24"/>
              </w:rPr>
              <w:t>基准价</w:t>
            </w:r>
            <w:r>
              <w:rPr>
                <w:rFonts w:hint="eastAsia" w:ascii="宋体" w:hAnsi="宋体" w:cs="宋体"/>
                <w:snapToGrid w:val="0"/>
                <w:sz w:val="24"/>
              </w:rPr>
              <w:t>/该投标人的评标价格）×50，上限最高不超过</w:t>
            </w:r>
            <w:r>
              <w:rPr>
                <w:rFonts w:hint="eastAsia" w:ascii="宋体" w:hAnsi="宋体" w:cs="宋体"/>
                <w:sz w:val="24"/>
              </w:rPr>
              <w:t>60</w:t>
            </w:r>
            <w:r>
              <w:rPr>
                <w:rFonts w:hint="eastAsia" w:ascii="宋体" w:hAnsi="宋体" w:cs="宋体"/>
                <w:snapToGrid w:val="0"/>
                <w:sz w:val="24"/>
              </w:rPr>
              <w:t>，下限无限制；（计算保留小数点后2位）</w:t>
            </w:r>
          </w:p>
        </w:tc>
        <w:tc>
          <w:tcPr>
            <w:tcW w:w="920" w:type="dxa"/>
            <w:vAlign w:val="center"/>
          </w:tcPr>
          <w:p>
            <w:pPr>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宋体" w:hAnsi="宋体" w:cs="宋体"/>
                <w:sz w:val="24"/>
              </w:rPr>
            </w:pPr>
            <w:r>
              <w:rPr>
                <w:rFonts w:hint="eastAsia" w:ascii="宋体" w:hAnsi="宋体" w:cs="宋体"/>
                <w:sz w:val="24"/>
              </w:rPr>
              <w:t>2</w:t>
            </w:r>
          </w:p>
        </w:tc>
        <w:tc>
          <w:tcPr>
            <w:tcW w:w="1352" w:type="dxa"/>
            <w:vAlign w:val="center"/>
          </w:tcPr>
          <w:p>
            <w:pPr>
              <w:spacing w:line="400" w:lineRule="exact"/>
              <w:rPr>
                <w:rFonts w:ascii="宋体" w:hAnsi="宋体" w:cs="宋体"/>
                <w:sz w:val="24"/>
              </w:rPr>
            </w:pPr>
            <w:r>
              <w:rPr>
                <w:rFonts w:hint="eastAsia" w:ascii="宋体" w:hAnsi="宋体" w:cs="宋体"/>
                <w:sz w:val="24"/>
              </w:rPr>
              <w:t>技术指标和配置22%</w:t>
            </w:r>
          </w:p>
        </w:tc>
        <w:tc>
          <w:tcPr>
            <w:tcW w:w="578" w:type="dxa"/>
            <w:vAlign w:val="center"/>
          </w:tcPr>
          <w:p>
            <w:pPr>
              <w:spacing w:line="400" w:lineRule="exact"/>
              <w:ind w:firstLine="28"/>
              <w:jc w:val="center"/>
              <w:rPr>
                <w:rFonts w:ascii="宋体" w:hAnsi="宋体" w:cs="宋体"/>
                <w:sz w:val="24"/>
              </w:rPr>
            </w:pPr>
            <w:r>
              <w:rPr>
                <w:rFonts w:hint="eastAsia" w:ascii="宋体" w:hAnsi="宋体" w:cs="宋体"/>
                <w:sz w:val="24"/>
              </w:rPr>
              <w:t>20</w:t>
            </w:r>
          </w:p>
        </w:tc>
        <w:tc>
          <w:tcPr>
            <w:tcW w:w="5140" w:type="dxa"/>
            <w:vAlign w:val="center"/>
          </w:tcPr>
          <w:p>
            <w:pPr>
              <w:spacing w:line="400" w:lineRule="exact"/>
              <w:rPr>
                <w:rFonts w:ascii="宋体" w:hAnsi="宋体" w:cs="宋体"/>
                <w:sz w:val="24"/>
              </w:rPr>
            </w:pPr>
            <w:r>
              <w:rPr>
                <w:rFonts w:hint="eastAsia" w:ascii="宋体" w:hAnsi="宋体" w:cs="宋体"/>
                <w:sz w:val="24"/>
              </w:rPr>
              <w:t>完全符合招标文件</w:t>
            </w:r>
            <w:r>
              <w:rPr>
                <w:rFonts w:hint="eastAsia" w:ascii="宋体" w:hAnsi="宋体" w:cs="宋体"/>
                <w:iCs/>
                <w:sz w:val="24"/>
              </w:rPr>
              <w:t>要求</w:t>
            </w:r>
            <w:r>
              <w:rPr>
                <w:rFonts w:hint="eastAsia" w:ascii="宋体" w:hAnsi="宋体" w:cs="宋体"/>
                <w:sz w:val="24"/>
              </w:rPr>
              <w:t>(招标文件第五章三至十项)</w:t>
            </w:r>
            <w:r>
              <w:rPr>
                <w:rFonts w:hint="eastAsia" w:ascii="宋体" w:hAnsi="宋体" w:cs="宋体"/>
                <w:iCs/>
                <w:sz w:val="24"/>
              </w:rPr>
              <w:t>得18分，每偏离一项扣1分，</w:t>
            </w:r>
            <w:r>
              <w:rPr>
                <w:rFonts w:hint="eastAsia" w:ascii="宋体" w:hAnsi="宋体" w:cs="宋体"/>
                <w:sz w:val="24"/>
              </w:rPr>
              <w:t>扣完为止。</w:t>
            </w:r>
            <w:r>
              <w:rPr>
                <w:rFonts w:hint="eastAsia" w:ascii="宋体" w:hAnsi="宋体" w:cs="宋体"/>
                <w:iCs/>
                <w:sz w:val="24"/>
              </w:rPr>
              <w:t>功能及要求每优于1项加1分，加满为止；投标文件中提供有效的技术支持资料，否则，评标时可不予认可。</w:t>
            </w:r>
          </w:p>
        </w:tc>
        <w:tc>
          <w:tcPr>
            <w:tcW w:w="920" w:type="dxa"/>
            <w:vAlign w:val="center"/>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业绩要求2%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投标人提供的制造商近3年（2017年1月1日至投标截止日止）具有真实有效的同类设备业绩的数量，由多到少进行排序，第1名得2分，第2名得1分，以此类推，最低得0分；</w:t>
            </w:r>
          </w:p>
          <w:p>
            <w:pPr>
              <w:rPr>
                <w:rFonts w:ascii="宋体" w:hAnsi="宋体" w:cs="宋体"/>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质量保修期4%</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在满足招标文件规定的得2分，整机质量保修期每增加6个月（不足6个月不予考虑），加1分，最高为4分；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安装调试服务1%</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提供了详细、可行的现场安装调试方案、完善的人员培训方案（含现场服务人员经验、人员数量、培训课时等方面），得2分；不满足上述情况，得0分。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6</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售后服务2%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提供了详细、可行的售后服务实施方案（含服务网络的设置、配件更换及时性等方面），且提供售后服务承诺函的，得2分；不满足上述情况，得0分。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7</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bCs/>
                <w:sz w:val="24"/>
              </w:rPr>
              <w:t>配置方案</w:t>
            </w:r>
            <w:r>
              <w:rPr>
                <w:rFonts w:hint="eastAsia" w:ascii="宋体" w:hAnsi="宋体" w:cs="宋体"/>
                <w:sz w:val="24"/>
              </w:rPr>
              <w:t>10%</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iCs/>
                <w:sz w:val="24"/>
              </w:rPr>
              <w:t>10</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iCs/>
                <w:sz w:val="24"/>
              </w:rPr>
            </w:pPr>
            <w:r>
              <w:rPr>
                <w:rFonts w:hint="eastAsia" w:ascii="宋体" w:hAnsi="宋体" w:cs="宋体"/>
                <w:iCs/>
                <w:sz w:val="24"/>
              </w:rPr>
              <w:t>根据投标人配置方案（包括主要元器件品牌、型号等）酌情给分。</w:t>
            </w:r>
          </w:p>
          <w:p>
            <w:pPr>
              <w:rPr>
                <w:rFonts w:ascii="宋体" w:hAnsi="宋体" w:cs="宋体"/>
                <w:iCs/>
                <w:sz w:val="24"/>
              </w:rPr>
            </w:pPr>
            <w:r>
              <w:rPr>
                <w:rFonts w:hint="eastAsia" w:ascii="宋体" w:hAnsi="宋体" w:cs="宋体"/>
                <w:iCs/>
                <w:sz w:val="24"/>
              </w:rPr>
              <w:t>评价为优的投标人在［5-6］分区间中打分，良的在［4-5（不含5）］分区间中打分，中的在［2-4（不含4）］分区间中打分，差的［0-2（不含2）］分区间中打分。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rPr>
            </w:pPr>
          </w:p>
        </w:tc>
      </w:tr>
    </w:tbl>
    <w:p>
      <w:pPr>
        <w:pStyle w:val="8"/>
        <w:tabs>
          <w:tab w:val="left" w:pos="600"/>
        </w:tabs>
        <w:spacing w:line="400" w:lineRule="exact"/>
        <w:ind w:firstLine="480" w:firstLineChars="200"/>
        <w:rPr>
          <w:rFonts w:ascii="宋体" w:hAnsi="宋体" w:cs="宋体"/>
          <w:sz w:val="24"/>
        </w:rPr>
      </w:pPr>
    </w:p>
    <w:bookmarkEnd w:id="170"/>
    <w:p>
      <w:pPr>
        <w:pStyle w:val="6"/>
        <w:spacing w:line="400" w:lineRule="exact"/>
        <w:ind w:firstLine="482" w:firstLineChars="200"/>
        <w:rPr>
          <w:rFonts w:ascii="宋体" w:hAnsi="宋体" w:cs="宋体"/>
          <w:sz w:val="24"/>
        </w:rPr>
      </w:pPr>
      <w:bookmarkStart w:id="180" w:name="_Toc183582287"/>
      <w:bookmarkStart w:id="181" w:name="_Toc183682422"/>
      <w:bookmarkStart w:id="182" w:name="_Toc217446104"/>
      <w:bookmarkStart w:id="183" w:name="PO_默认文件内容_11"/>
      <w:r>
        <w:rPr>
          <w:rFonts w:hint="eastAsia" w:ascii="宋体" w:hAnsi="宋体" w:cs="宋体"/>
          <w:bCs/>
          <w:sz w:val="24"/>
        </w:rPr>
        <w:t>6．计算</w:t>
      </w:r>
      <w:r>
        <w:rPr>
          <w:rFonts w:hint="eastAsia" w:ascii="宋体" w:hAnsi="宋体" w:cs="宋体"/>
          <w:sz w:val="24"/>
        </w:rPr>
        <w:t>错误的修改</w:t>
      </w:r>
      <w:bookmarkEnd w:id="180"/>
      <w:bookmarkEnd w:id="181"/>
      <w:bookmarkEnd w:id="182"/>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6.1 投标文件中如果出现计算上或累加上的算术错误，可按以下原则进行修改：</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（1）用数字表示的金额和用文字表示的金额不一致，应以文字表示的金额为准。</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（2）单价和数量的乘积与总价不一致时，以单价为准，并修正总价。</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（3）单价金额小数点有明显错误的，以总价为准，修正单价。</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6.2  按上述修正错误的方法调整的投标报价应对投标人具有约束力。如果投标人不接受修正后的价格，其投标将被拒绝。</w:t>
      </w:r>
    </w:p>
    <w:p>
      <w:pPr>
        <w:pStyle w:val="5"/>
        <w:spacing w:line="400" w:lineRule="exact"/>
        <w:ind w:firstLine="482" w:firstLineChars="200"/>
        <w:rPr>
          <w:rFonts w:ascii="宋体" w:hAnsi="宋体" w:eastAsia="宋体" w:cs="宋体"/>
          <w:bCs w:val="0"/>
          <w:sz w:val="24"/>
          <w:szCs w:val="24"/>
        </w:rPr>
      </w:pPr>
      <w:bookmarkStart w:id="184" w:name="_Toc183682432"/>
      <w:bookmarkStart w:id="185" w:name="_Toc183582297"/>
      <w:bookmarkStart w:id="186" w:name="_Toc208849022"/>
      <w:bookmarkStart w:id="187" w:name="_Toc217446105"/>
      <w:r>
        <w:rPr>
          <w:rFonts w:hint="eastAsia" w:ascii="宋体" w:hAnsi="宋体" w:eastAsia="宋体" w:cs="宋体"/>
          <w:bCs w:val="0"/>
          <w:sz w:val="24"/>
          <w:szCs w:val="24"/>
        </w:rPr>
        <w:t xml:space="preserve">7. </w:t>
      </w:r>
      <w:bookmarkEnd w:id="184"/>
      <w:bookmarkEnd w:id="185"/>
      <w:bookmarkEnd w:id="186"/>
      <w:bookmarkEnd w:id="187"/>
      <w:r>
        <w:rPr>
          <w:rFonts w:hint="eastAsia" w:ascii="宋体" w:hAnsi="宋体" w:eastAsia="宋体" w:cs="宋体"/>
          <w:sz w:val="24"/>
          <w:szCs w:val="24"/>
        </w:rPr>
        <w:t>评标专家在</w:t>
      </w:r>
      <w:r>
        <w:rPr>
          <w:rFonts w:hint="eastAsia" w:ascii="宋体" w:hAnsi="宋体" w:eastAsia="宋体" w:cs="宋体"/>
          <w:sz w:val="24"/>
        </w:rPr>
        <w:t>招标采购活动</w:t>
      </w:r>
      <w:r>
        <w:rPr>
          <w:rFonts w:hint="eastAsia" w:ascii="宋体" w:hAnsi="宋体" w:eastAsia="宋体" w:cs="宋体"/>
          <w:sz w:val="24"/>
          <w:szCs w:val="24"/>
        </w:rPr>
        <w:t>中承担以下义务：</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7.1 遵纪守法，客观、公正、廉洁地履行职责。</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7.2 按照采购文件的规定要求对供应商的资格条件和供应商提供的产品价格、技术、服务等方面严格进行评判，提供科学合理、公平公正的评审意见，参与起草评审报告，并予签字确认。</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7.3 保守秘密。不得透露采购文件咨询情况，不得泄漏供应商的投标文件及知悉的商业秘密，不得向供应商透露评审情况。</w:t>
      </w:r>
    </w:p>
    <w:p>
      <w:pPr>
        <w:pStyle w:val="5"/>
        <w:spacing w:line="400" w:lineRule="exact"/>
        <w:ind w:firstLine="482" w:firstLineChars="200"/>
        <w:rPr>
          <w:rFonts w:ascii="宋体" w:hAnsi="宋体" w:eastAsia="宋体" w:cs="宋体"/>
          <w:bCs w:val="0"/>
          <w:sz w:val="24"/>
          <w:szCs w:val="24"/>
        </w:rPr>
      </w:pPr>
      <w:r>
        <w:rPr>
          <w:rFonts w:hint="eastAsia" w:ascii="宋体" w:hAnsi="宋体" w:eastAsia="宋体" w:cs="宋体"/>
          <w:bCs w:val="0"/>
          <w:sz w:val="24"/>
          <w:szCs w:val="24"/>
        </w:rPr>
        <w:t>8.重新招标或终止招标</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本次招标活动中，出现下列情形之一的，予以重新招标或终止招标：</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（1）所有投标都不符合招标文件要求，并被全部否决的；</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（2）出现影响招标采购公正的违法、违规行为的；</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（3）因重大变故，招标采购任务取消的；</w:t>
      </w:r>
    </w:p>
    <w:p>
      <w:pPr>
        <w:widowControl/>
        <w:autoSpaceDE w:val="0"/>
        <w:autoSpaceDN w:val="0"/>
        <w:spacing w:line="400" w:lineRule="exact"/>
        <w:ind w:right="53" w:firstLine="480" w:firstLineChars="200"/>
        <w:textAlignment w:val="bottom"/>
        <w:rPr>
          <w:rFonts w:ascii="宋体" w:hAnsi="宋体" w:cs="宋体"/>
          <w:sz w:val="24"/>
        </w:rPr>
        <w:sectPr>
          <w:pgSz w:w="11906" w:h="16838"/>
          <w:pgMar w:top="1440" w:right="1800" w:bottom="1440" w:left="1800" w:header="851" w:footer="992" w:gutter="0"/>
          <w:cols w:space="720" w:num="1"/>
          <w:docGrid w:type="lines" w:linePitch="312" w:charSpace="0"/>
        </w:sectPr>
      </w:pPr>
      <w:r>
        <w:rPr>
          <w:rFonts w:hint="eastAsia" w:ascii="宋体" w:hAnsi="宋体" w:cs="宋体"/>
          <w:sz w:val="24"/>
        </w:rPr>
        <w:t>重新招标或终止招标的，招标采购单位应在重庆交通职业学院官网上公告，并公告详细理由。</w:t>
      </w:r>
      <w:bookmarkEnd w:id="183"/>
      <w:bookmarkStart w:id="188" w:name="PO_默认文件内容_45"/>
    </w:p>
    <w:tbl>
      <w:tblPr>
        <w:tblStyle w:val="14"/>
        <w:tblW w:w="14314" w:type="dxa"/>
        <w:tblInd w:w="0" w:type="dxa"/>
        <w:tblLayout w:type="fixed"/>
        <w:tblCellMar>
          <w:top w:w="15" w:type="dxa"/>
          <w:left w:w="15" w:type="dxa"/>
          <w:bottom w:w="15" w:type="dxa"/>
          <w:right w:w="15" w:type="dxa"/>
        </w:tblCellMar>
      </w:tblPr>
      <w:tblGrid>
        <w:gridCol w:w="14314"/>
      </w:tblGrid>
      <w:tr>
        <w:tblPrEx>
          <w:tblCellMar>
            <w:top w:w="15" w:type="dxa"/>
            <w:left w:w="15" w:type="dxa"/>
            <w:bottom w:w="15" w:type="dxa"/>
            <w:right w:w="15" w:type="dxa"/>
          </w:tblCellMar>
        </w:tblPrEx>
        <w:trPr>
          <w:trHeight w:val="898" w:hRule="atLeast"/>
        </w:trPr>
        <w:tc>
          <w:tcPr>
            <w:tcW w:w="14314" w:type="dxa"/>
            <w:vAlign w:val="bottom"/>
          </w:tcPr>
          <w:p>
            <w:pPr>
              <w:widowControl/>
              <w:jc w:val="left"/>
              <w:rPr>
                <w:rFonts w:ascii="宋体" w:hAnsi="宋体" w:cs="宋体"/>
                <w:b/>
                <w:bCs/>
                <w:sz w:val="24"/>
              </w:rPr>
            </w:pPr>
            <w:r>
              <w:rPr>
                <w:rFonts w:hint="eastAsia" w:ascii="宋体" w:hAnsi="宋体" w:cs="宋体"/>
                <w:b/>
                <w:bCs/>
                <w:sz w:val="24"/>
              </w:rPr>
              <w:t>附件二：</w:t>
            </w:r>
            <w:r>
              <w:rPr>
                <w:rFonts w:hint="eastAsia" w:ascii="宋体" w:hAnsi="宋体" w:cs="宋体"/>
                <w:b/>
                <w:sz w:val="24"/>
              </w:rPr>
              <w:t>递交投标文件签收表</w:t>
            </w:r>
          </w:p>
          <w:tbl>
            <w:tblPr>
              <w:tblStyle w:val="14"/>
              <w:tblW w:w="8036" w:type="dxa"/>
              <w:tblInd w:w="0" w:type="dxa"/>
              <w:tblLayout w:type="fixed"/>
              <w:tblCellMar>
                <w:top w:w="15" w:type="dxa"/>
                <w:left w:w="15" w:type="dxa"/>
                <w:bottom w:w="15" w:type="dxa"/>
                <w:right w:w="15" w:type="dxa"/>
              </w:tblCellMar>
            </w:tblPr>
            <w:tblGrid>
              <w:gridCol w:w="611"/>
              <w:gridCol w:w="1059"/>
              <w:gridCol w:w="813"/>
              <w:gridCol w:w="1383"/>
              <w:gridCol w:w="783"/>
              <w:gridCol w:w="1211"/>
              <w:gridCol w:w="2176"/>
            </w:tblGrid>
            <w:tr>
              <w:tblPrEx>
                <w:tblCellMar>
                  <w:top w:w="15" w:type="dxa"/>
                  <w:left w:w="15" w:type="dxa"/>
                  <w:bottom w:w="15" w:type="dxa"/>
                  <w:right w:w="15" w:type="dxa"/>
                </w:tblCellMar>
              </w:tblPrEx>
              <w:trPr>
                <w:trHeight w:val="1220" w:hRule="atLeast"/>
              </w:trPr>
              <w:tc>
                <w:tcPr>
                  <w:tcW w:w="61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项目名称</w:t>
                  </w:r>
                </w:p>
              </w:tc>
              <w:tc>
                <w:tcPr>
                  <w:tcW w:w="3255" w:type="dxa"/>
                  <w:gridSpan w:val="3"/>
                  <w:tcBorders>
                    <w:top w:val="single" w:color="000000" w:sz="12" w:space="0"/>
                    <w:left w:val="single" w:color="000000" w:sz="4" w:space="0"/>
                    <w:bottom w:val="single" w:color="000000" w:sz="4" w:space="0"/>
                  </w:tcBorders>
                  <w:vAlign w:val="center"/>
                </w:tcPr>
                <w:p>
                  <w:pPr>
                    <w:widowControl/>
                    <w:jc w:val="center"/>
                    <w:textAlignment w:val="center"/>
                    <w:rPr>
                      <w:rFonts w:ascii="宋体" w:hAnsi="宋体" w:cs="宋体"/>
                      <w:b/>
                      <w:bCs/>
                      <w:sz w:val="20"/>
                    </w:rPr>
                  </w:pPr>
                </w:p>
              </w:tc>
              <w:tc>
                <w:tcPr>
                  <w:tcW w:w="78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招标编号</w:t>
                  </w:r>
                </w:p>
              </w:tc>
              <w:tc>
                <w:tcPr>
                  <w:tcW w:w="3387" w:type="dxa"/>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bCs/>
                      <w:sz w:val="20"/>
                    </w:rPr>
                  </w:pPr>
                </w:p>
              </w:tc>
            </w:tr>
            <w:tr>
              <w:tblPrEx>
                <w:tblCellMar>
                  <w:top w:w="15" w:type="dxa"/>
                  <w:left w:w="15" w:type="dxa"/>
                  <w:bottom w:w="15" w:type="dxa"/>
                  <w:right w:w="15" w:type="dxa"/>
                </w:tblCellMar>
              </w:tblPrEx>
              <w:trPr>
                <w:trHeight w:val="1220" w:hRule="atLeast"/>
              </w:trPr>
              <w:tc>
                <w:tcPr>
                  <w:tcW w:w="61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开标时间</w:t>
                  </w:r>
                </w:p>
              </w:tc>
              <w:tc>
                <w:tcPr>
                  <w:tcW w:w="3255" w:type="dxa"/>
                  <w:gridSpan w:val="3"/>
                  <w:tcBorders>
                    <w:top w:val="single" w:color="000000" w:sz="12" w:space="0"/>
                    <w:left w:val="single" w:color="000000" w:sz="4" w:space="0"/>
                    <w:bottom w:val="single" w:color="000000" w:sz="4" w:space="0"/>
                  </w:tcBorders>
                  <w:vAlign w:val="center"/>
                </w:tcPr>
                <w:p>
                  <w:pPr>
                    <w:widowControl/>
                    <w:jc w:val="center"/>
                    <w:textAlignment w:val="center"/>
                    <w:rPr>
                      <w:rFonts w:ascii="宋体" w:hAnsi="宋体" w:cs="宋体"/>
                      <w:b/>
                      <w:bCs/>
                      <w:sz w:val="20"/>
                    </w:rPr>
                  </w:pPr>
                </w:p>
              </w:tc>
              <w:tc>
                <w:tcPr>
                  <w:tcW w:w="78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开标地点</w:t>
                  </w:r>
                </w:p>
              </w:tc>
              <w:tc>
                <w:tcPr>
                  <w:tcW w:w="3387" w:type="dxa"/>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bCs/>
                      <w:sz w:val="20"/>
                    </w:rPr>
                  </w:pPr>
                </w:p>
              </w:tc>
            </w:tr>
            <w:tr>
              <w:tblPrEx>
                <w:tblCellMar>
                  <w:top w:w="15" w:type="dxa"/>
                  <w:left w:w="15" w:type="dxa"/>
                  <w:bottom w:w="15" w:type="dxa"/>
                  <w:right w:w="15" w:type="dxa"/>
                </w:tblCellMar>
              </w:tblPrEx>
              <w:trPr>
                <w:trHeight w:val="1220" w:hRule="atLeast"/>
              </w:trPr>
              <w:tc>
                <w:tcPr>
                  <w:tcW w:w="61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包号</w:t>
                  </w:r>
                </w:p>
              </w:tc>
              <w:tc>
                <w:tcPr>
                  <w:tcW w:w="105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投标单位</w:t>
                  </w:r>
                </w:p>
              </w:tc>
              <w:tc>
                <w:tcPr>
                  <w:tcW w:w="81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制造商</w:t>
                  </w:r>
                </w:p>
              </w:tc>
              <w:tc>
                <w:tcPr>
                  <w:tcW w:w="1383" w:type="dxa"/>
                  <w:tcBorders>
                    <w:top w:val="single" w:color="000000" w:sz="12" w:space="0"/>
                    <w:left w:val="single" w:color="000000" w:sz="4" w:space="0"/>
                    <w:bottom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递交时间</w:t>
                  </w:r>
                </w:p>
              </w:tc>
              <w:tc>
                <w:tcPr>
                  <w:tcW w:w="78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0"/>
                      <w:lang w:eastAsia="zh-CN"/>
                    </w:rPr>
                  </w:pPr>
                  <w:r>
                    <w:rPr>
                      <w:rFonts w:hint="eastAsia" w:ascii="宋体" w:hAnsi="宋体" w:cs="宋体"/>
                      <w:b/>
                      <w:bCs/>
                      <w:sz w:val="20"/>
                    </w:rPr>
                    <w:t>法人代表</w:t>
                  </w:r>
                </w:p>
                <w:p>
                  <w:pPr>
                    <w:widowControl/>
                    <w:jc w:val="center"/>
                    <w:textAlignment w:val="center"/>
                    <w:rPr>
                      <w:rFonts w:ascii="宋体" w:hAnsi="宋体" w:cs="宋体"/>
                      <w:b/>
                      <w:bCs/>
                      <w:sz w:val="20"/>
                    </w:rPr>
                  </w:pPr>
                  <w:r>
                    <w:rPr>
                      <w:rFonts w:hint="eastAsia" w:ascii="宋体" w:hAnsi="宋体" w:cs="宋体"/>
                      <w:b/>
                      <w:bCs/>
                      <w:sz w:val="20"/>
                    </w:rPr>
                    <w:t>或授权人</w:t>
                  </w:r>
                </w:p>
              </w:tc>
              <w:tc>
                <w:tcPr>
                  <w:tcW w:w="1211"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联系方式</w:t>
                  </w:r>
                </w:p>
              </w:tc>
              <w:tc>
                <w:tcPr>
                  <w:tcW w:w="2176"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bCs/>
                      <w:sz w:val="20"/>
                    </w:rPr>
                  </w:pPr>
                  <w:r>
                    <w:rPr>
                      <w:rFonts w:hint="eastAsia" w:ascii="宋体" w:hAnsi="宋体" w:cs="宋体"/>
                      <w:b/>
                      <w:bCs/>
                      <w:sz w:val="20"/>
                    </w:rPr>
                    <w:t>递交数量</w:t>
                  </w:r>
                </w:p>
              </w:tc>
            </w:tr>
            <w:tr>
              <w:tblPrEx>
                <w:tblCellMar>
                  <w:top w:w="15" w:type="dxa"/>
                  <w:left w:w="15" w:type="dxa"/>
                  <w:bottom w:w="15" w:type="dxa"/>
                  <w:right w:w="15" w:type="dxa"/>
                </w:tblCellMar>
              </w:tblPrEx>
              <w:trPr>
                <w:trHeight w:val="562" w:hRule="atLeast"/>
              </w:trPr>
              <w:tc>
                <w:tcPr>
                  <w:tcW w:w="611"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0"/>
                    </w:rPr>
                  </w:pP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0"/>
                    </w:rPr>
                  </w:pPr>
                </w:p>
              </w:tc>
              <w:tc>
                <w:tcPr>
                  <w:tcW w:w="813" w:type="dxa"/>
                  <w:vMerge w:val="restart"/>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383" w:type="dxa"/>
                  <w:vMerge w:val="restart"/>
                  <w:tcBorders>
                    <w:top w:val="single" w:color="000000" w:sz="4" w:space="0"/>
                    <w:left w:val="single" w:color="000000" w:sz="4" w:space="0"/>
                  </w:tcBorders>
                  <w:vAlign w:val="center"/>
                </w:tcPr>
                <w:p>
                  <w:pPr>
                    <w:widowControl/>
                    <w:jc w:val="center"/>
                    <w:textAlignment w:val="center"/>
                    <w:rPr>
                      <w:rFonts w:ascii="宋体" w:hAnsi="宋体" w:cs="宋体"/>
                      <w:sz w:val="20"/>
                      <w:u w:val="single"/>
                    </w:rPr>
                  </w:pPr>
                  <w:r>
                    <w:rPr>
                      <w:rFonts w:hint="eastAsia" w:ascii="宋体" w:hAnsi="宋体" w:cs="宋体"/>
                      <w:sz w:val="20"/>
                    </w:rPr>
                    <w:t>年月日</w:t>
                  </w:r>
                </w:p>
                <w:p>
                  <w:pPr>
                    <w:widowControl/>
                    <w:jc w:val="center"/>
                    <w:textAlignment w:val="center"/>
                    <w:rPr>
                      <w:rFonts w:ascii="宋体" w:hAnsi="宋体" w:cs="宋体"/>
                      <w:b/>
                      <w:bCs/>
                      <w:sz w:val="20"/>
                    </w:rPr>
                  </w:pPr>
                  <w:r>
                    <w:rPr>
                      <w:rFonts w:hint="eastAsia" w:ascii="宋体" w:hAnsi="宋体" w:cs="宋体"/>
                      <w:sz w:val="20"/>
                    </w:rPr>
                    <w:t>时分</w:t>
                  </w:r>
                </w:p>
              </w:tc>
              <w:tc>
                <w:tcPr>
                  <w:tcW w:w="783" w:type="dxa"/>
                  <w:vMerge w:val="restart"/>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sz w:val="20"/>
                    </w:rPr>
                  </w:pPr>
                  <w:r>
                    <w:rPr>
                      <w:rFonts w:hint="eastAsia" w:ascii="宋体" w:hAnsi="宋体" w:cs="宋体"/>
                      <w:sz w:val="20"/>
                    </w:rPr>
                    <w:t>电话：</w:t>
                  </w:r>
                </w:p>
              </w:tc>
              <w:tc>
                <w:tcPr>
                  <w:tcW w:w="2176"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正本</w:t>
                  </w:r>
                </w:p>
              </w:tc>
            </w:tr>
            <w:tr>
              <w:tblPrEx>
                <w:tblCellMar>
                  <w:top w:w="15" w:type="dxa"/>
                  <w:left w:w="15" w:type="dxa"/>
                  <w:bottom w:w="15" w:type="dxa"/>
                  <w:right w:w="15" w:type="dxa"/>
                </w:tblCellMar>
              </w:tblPrEx>
              <w:trPr>
                <w:trHeight w:val="594" w:hRule="atLeast"/>
              </w:trPr>
              <w:tc>
                <w:tcPr>
                  <w:tcW w:w="611"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0"/>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0"/>
                    </w:rPr>
                  </w:pPr>
                </w:p>
              </w:tc>
              <w:tc>
                <w:tcPr>
                  <w:tcW w:w="81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383" w:type="dxa"/>
                  <w:vMerge w:val="continue"/>
                  <w:tcBorders>
                    <w:left w:val="single" w:color="000000" w:sz="4" w:space="0"/>
                  </w:tcBorders>
                  <w:vAlign w:val="center"/>
                </w:tcPr>
                <w:p>
                  <w:pPr>
                    <w:widowControl/>
                    <w:jc w:val="center"/>
                    <w:textAlignment w:val="center"/>
                    <w:rPr>
                      <w:rFonts w:ascii="宋体" w:hAnsi="宋体" w:cs="宋体"/>
                      <w:b/>
                      <w:bCs/>
                      <w:sz w:val="20"/>
                      <w:u w:val="single"/>
                    </w:rPr>
                  </w:pPr>
                </w:p>
              </w:tc>
              <w:tc>
                <w:tcPr>
                  <w:tcW w:w="78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sz w:val="20"/>
                    </w:rPr>
                  </w:pPr>
                  <w:r>
                    <w:rPr>
                      <w:rFonts w:hint="eastAsia" w:ascii="宋体" w:hAnsi="宋体" w:cs="宋体"/>
                      <w:sz w:val="20"/>
                    </w:rPr>
                    <w:t>传真：</w:t>
                  </w:r>
                </w:p>
              </w:tc>
              <w:tc>
                <w:tcPr>
                  <w:tcW w:w="2176"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副本</w:t>
                  </w:r>
                </w:p>
              </w:tc>
            </w:tr>
            <w:tr>
              <w:tblPrEx>
                <w:tblCellMar>
                  <w:top w:w="15" w:type="dxa"/>
                  <w:left w:w="15" w:type="dxa"/>
                  <w:bottom w:w="15" w:type="dxa"/>
                  <w:right w:w="15" w:type="dxa"/>
                </w:tblCellMar>
              </w:tblPrEx>
              <w:trPr>
                <w:trHeight w:val="594" w:hRule="atLeast"/>
              </w:trPr>
              <w:tc>
                <w:tcPr>
                  <w:tcW w:w="611"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0"/>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0"/>
                    </w:rPr>
                  </w:pPr>
                </w:p>
              </w:tc>
              <w:tc>
                <w:tcPr>
                  <w:tcW w:w="81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383" w:type="dxa"/>
                  <w:vMerge w:val="continue"/>
                  <w:tcBorders>
                    <w:left w:val="single" w:color="000000" w:sz="4" w:space="0"/>
                  </w:tcBorders>
                  <w:vAlign w:val="center"/>
                </w:tcPr>
                <w:p>
                  <w:pPr>
                    <w:jc w:val="center"/>
                    <w:rPr>
                      <w:rFonts w:ascii="宋体" w:hAnsi="宋体" w:cs="宋体"/>
                      <w:b/>
                      <w:bCs/>
                      <w:sz w:val="20"/>
                    </w:rPr>
                  </w:pPr>
                </w:p>
              </w:tc>
              <w:tc>
                <w:tcPr>
                  <w:tcW w:w="78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sz w:val="20"/>
                    </w:rPr>
                  </w:pPr>
                  <w:r>
                    <w:rPr>
                      <w:rFonts w:hint="eastAsia" w:ascii="宋体" w:hAnsi="宋体" w:cs="宋体"/>
                      <w:sz w:val="20"/>
                    </w:rPr>
                    <w:t>手机：</w:t>
                  </w:r>
                </w:p>
              </w:tc>
              <w:tc>
                <w:tcPr>
                  <w:tcW w:w="2176"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开标一览表</w:t>
                  </w:r>
                </w:p>
              </w:tc>
            </w:tr>
            <w:tr>
              <w:tblPrEx>
                <w:tblCellMar>
                  <w:top w:w="15" w:type="dxa"/>
                  <w:left w:w="15" w:type="dxa"/>
                  <w:bottom w:w="15" w:type="dxa"/>
                  <w:right w:w="15" w:type="dxa"/>
                </w:tblCellMar>
              </w:tblPrEx>
              <w:trPr>
                <w:trHeight w:val="513" w:hRule="atLeast"/>
              </w:trPr>
              <w:tc>
                <w:tcPr>
                  <w:tcW w:w="611"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cs="宋体"/>
                      <w:sz w:val="20"/>
                    </w:rPr>
                  </w:pPr>
                </w:p>
              </w:tc>
              <w:tc>
                <w:tcPr>
                  <w:tcW w:w="1059" w:type="dxa"/>
                  <w:vMerge w:val="continue"/>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cs="宋体"/>
                      <w:sz w:val="20"/>
                    </w:rPr>
                  </w:pPr>
                </w:p>
              </w:tc>
              <w:tc>
                <w:tcPr>
                  <w:tcW w:w="813" w:type="dxa"/>
                  <w:vMerge w:val="continue"/>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383" w:type="dxa"/>
                  <w:vMerge w:val="continue"/>
                  <w:tcBorders>
                    <w:left w:val="single" w:color="000000" w:sz="4" w:space="0"/>
                    <w:bottom w:val="single" w:color="000000" w:sz="12" w:space="0"/>
                  </w:tcBorders>
                  <w:vAlign w:val="center"/>
                </w:tcPr>
                <w:p>
                  <w:pPr>
                    <w:rPr>
                      <w:rFonts w:ascii="宋体" w:hAnsi="宋体" w:cs="宋体"/>
                      <w:sz w:val="20"/>
                    </w:rPr>
                  </w:pPr>
                </w:p>
              </w:tc>
              <w:tc>
                <w:tcPr>
                  <w:tcW w:w="783" w:type="dxa"/>
                  <w:vMerge w:val="continue"/>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12" w:space="0"/>
                    <w:right w:val="single" w:color="000000" w:sz="4" w:space="0"/>
                  </w:tcBorders>
                </w:tcPr>
                <w:p>
                  <w:pPr>
                    <w:rPr>
                      <w:rFonts w:ascii="宋体" w:hAnsi="宋体" w:cs="宋体"/>
                      <w:sz w:val="20"/>
                    </w:rPr>
                  </w:pPr>
                </w:p>
              </w:tc>
              <w:tc>
                <w:tcPr>
                  <w:tcW w:w="2176"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电子文档</w:t>
                  </w:r>
                </w:p>
              </w:tc>
            </w:tr>
            <w:tr>
              <w:tblPrEx>
                <w:tblCellMar>
                  <w:top w:w="15" w:type="dxa"/>
                  <w:left w:w="15" w:type="dxa"/>
                  <w:bottom w:w="15" w:type="dxa"/>
                  <w:right w:w="15" w:type="dxa"/>
                </w:tblCellMar>
              </w:tblPrEx>
              <w:trPr>
                <w:trHeight w:val="513" w:hRule="atLeast"/>
              </w:trPr>
              <w:tc>
                <w:tcPr>
                  <w:tcW w:w="611" w:type="dxa"/>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cs="宋体"/>
                      <w:sz w:val="20"/>
                    </w:rPr>
                  </w:pPr>
                  <w:r>
                    <w:rPr>
                      <w:rFonts w:hint="eastAsia" w:ascii="宋体" w:hAnsi="宋体" w:cs="宋体"/>
                      <w:sz w:val="20"/>
                    </w:rPr>
                    <w:t>签收人</w:t>
                  </w:r>
                </w:p>
              </w:tc>
              <w:tc>
                <w:tcPr>
                  <w:tcW w:w="1059"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cs="宋体"/>
                      <w:sz w:val="20"/>
                    </w:rPr>
                  </w:pPr>
                </w:p>
              </w:tc>
              <w:tc>
                <w:tcPr>
                  <w:tcW w:w="813" w:type="dxa"/>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383" w:type="dxa"/>
                  <w:tcBorders>
                    <w:left w:val="single" w:color="000000" w:sz="4" w:space="0"/>
                    <w:bottom w:val="single" w:color="000000" w:sz="12" w:space="0"/>
                  </w:tcBorders>
                  <w:vAlign w:val="center"/>
                </w:tcPr>
                <w:p>
                  <w:pPr>
                    <w:rPr>
                      <w:rFonts w:ascii="宋体" w:hAnsi="宋体" w:cs="宋体"/>
                      <w:sz w:val="20"/>
                    </w:rPr>
                  </w:pPr>
                </w:p>
              </w:tc>
              <w:tc>
                <w:tcPr>
                  <w:tcW w:w="783" w:type="dxa"/>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12" w:space="0"/>
                    <w:right w:val="single" w:color="000000" w:sz="4" w:space="0"/>
                  </w:tcBorders>
                </w:tcPr>
                <w:p>
                  <w:pPr>
                    <w:rPr>
                      <w:rFonts w:ascii="宋体" w:hAnsi="宋体" w:cs="宋体"/>
                      <w:sz w:val="20"/>
                    </w:rPr>
                  </w:pPr>
                </w:p>
              </w:tc>
              <w:tc>
                <w:tcPr>
                  <w:tcW w:w="2176"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hAnsi="宋体" w:cs="宋体"/>
                      <w:sz w:val="20"/>
                    </w:rPr>
                  </w:pPr>
                </w:p>
              </w:tc>
            </w:tr>
          </w:tbl>
          <w:p>
            <w:pPr>
              <w:textAlignment w:val="bottom"/>
              <w:rPr>
                <w:rFonts w:ascii="宋体" w:hAnsi="宋体" w:cs="宋体"/>
                <w:sz w:val="24"/>
              </w:rPr>
            </w:pPr>
          </w:p>
        </w:tc>
      </w:tr>
      <w:bookmarkEnd w:id="188"/>
    </w:tbl>
    <w:p>
      <w:pPr>
        <w:spacing w:line="400" w:lineRule="exact"/>
        <w:ind w:firstLine="420" w:firstLineChars="200"/>
        <w:rPr>
          <w:rFonts w:ascii="宋体" w:hAnsi="宋体" w:cs="宋体"/>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HcxJU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NlweecWWGo4cfbH8efv4+/&#10;vrNZtKd1PqesG0d5oXsLHQ1NkurdFcivnlm4rIXdqgtEaGslSqKXXmb3nvY4PoJs2g9QUh2xC5CA&#10;ugpN9I7cYIROrTmcWqO6wCQdvjx7MacLSTez529eT1PnMpGPbx368E6BYTEoOFLjE7bYX/lAKih1&#10;TImlLKx106TmN/avA0qMJ4l7pNsTD92mG7zYQHkgFQj9LNFPoqAG/MZZS3NUcEvfhrPmvSUf4siN&#10;AY7BZgyElfSw4IGzPrwM/WjuHOptTbij0xfk1VonIdHUnsPAkiYj6RumOI7e/X3K+vNzl3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odzElQgCAAABBAAADgAAAAAAAAABACAAAAAfAQAAZHJz&#10;L2Uyb0RvYy54bWxQSwUGAAAAAAYABgBZAQAAmQU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Bl6zxII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YtoT+d8QVm3jvJC/wr6mBqlencD8rNnFq4bYXfqChG6RomK6M3jy+zO0wHHR5Bt9xYqqiP2ARJQ&#10;X6OJgOQGI3RqzfHcGtUHJmPJ+cUif8aZpKv505fP89S6TBTTY4c+vFZgWAxKjtT5BC4ONz5EMqKY&#10;UmItCxvdtqn7rf3rgBLjSSIf+Q7MQ7/tRzO2UB1JBsIwTPSVKGgAv3DW0SCV3NK/4ax9Y8mIOHNT&#10;gFOwnQJhJT0seeBsCK/DMJt7h3rXEO5k9RWZtdFJSHR14DCypNFI+sYxjrN3d5+y/nzd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LpYU0AAAAAMBAAAPAAAAAAAAAAEAIAAAACIAAABkcnMvZG93&#10;bnJldi54bWxQSwECFAAUAAAACACHTuJAGXrPEggCAAACBAAADgAAAAAAAAABACAAAAAfAQAAZHJz&#10;L2Uyb0RvYy54bWxQSwUGAAAAAAYABgBZAQAAmQU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47B4A5"/>
    <w:multiLevelType w:val="singleLevel"/>
    <w:tmpl w:val="0E47B4A5"/>
    <w:lvl w:ilvl="0" w:tentative="0">
      <w:start w:val="7"/>
      <w:numFmt w:val="chineseCounting"/>
      <w:suff w:val="nothing"/>
      <w:lvlText w:val="%1、"/>
      <w:lvlJc w:val="left"/>
      <w:rPr>
        <w:rFonts w:hint="eastAsia"/>
      </w:rPr>
    </w:lvl>
  </w:abstractNum>
  <w:abstractNum w:abstractNumId="2">
    <w:nsid w:val="79F1A499"/>
    <w:multiLevelType w:val="singleLevel"/>
    <w:tmpl w:val="79F1A49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3ZDhkZTYzZmVhYzU3MjllZTUzMzM2NDQzMWUxNzEifQ=="/>
  </w:docVars>
  <w:rsids>
    <w:rsidRoot w:val="009B2603"/>
    <w:rsid w:val="00025209"/>
    <w:rsid w:val="001113BD"/>
    <w:rsid w:val="00250D0A"/>
    <w:rsid w:val="007008D3"/>
    <w:rsid w:val="007C74A7"/>
    <w:rsid w:val="00821A1A"/>
    <w:rsid w:val="009B2603"/>
    <w:rsid w:val="00F33EE8"/>
    <w:rsid w:val="0170108F"/>
    <w:rsid w:val="021D04ED"/>
    <w:rsid w:val="02377801"/>
    <w:rsid w:val="02854D66"/>
    <w:rsid w:val="02AF4FC2"/>
    <w:rsid w:val="03820EEA"/>
    <w:rsid w:val="062E0F1B"/>
    <w:rsid w:val="06D56509"/>
    <w:rsid w:val="074D53D1"/>
    <w:rsid w:val="0A454A85"/>
    <w:rsid w:val="0EF12F07"/>
    <w:rsid w:val="104203D4"/>
    <w:rsid w:val="10A6006F"/>
    <w:rsid w:val="117F6ACF"/>
    <w:rsid w:val="13411781"/>
    <w:rsid w:val="15424442"/>
    <w:rsid w:val="15C75281"/>
    <w:rsid w:val="15D12640"/>
    <w:rsid w:val="16096967"/>
    <w:rsid w:val="17263548"/>
    <w:rsid w:val="1767428D"/>
    <w:rsid w:val="1A76513D"/>
    <w:rsid w:val="1B226F4B"/>
    <w:rsid w:val="1C3A2C4F"/>
    <w:rsid w:val="1CD1783C"/>
    <w:rsid w:val="1D115DDC"/>
    <w:rsid w:val="1EFE4A8A"/>
    <w:rsid w:val="206F7D0E"/>
    <w:rsid w:val="21135A90"/>
    <w:rsid w:val="21335B07"/>
    <w:rsid w:val="23BB44DB"/>
    <w:rsid w:val="23E7586A"/>
    <w:rsid w:val="24F5112A"/>
    <w:rsid w:val="25032D88"/>
    <w:rsid w:val="26EF290A"/>
    <w:rsid w:val="27832A2A"/>
    <w:rsid w:val="28896BBB"/>
    <w:rsid w:val="293D4C44"/>
    <w:rsid w:val="295D40A7"/>
    <w:rsid w:val="2BCF2645"/>
    <w:rsid w:val="2C2E0A7D"/>
    <w:rsid w:val="2CA36ACA"/>
    <w:rsid w:val="2F523048"/>
    <w:rsid w:val="32062B44"/>
    <w:rsid w:val="356279EA"/>
    <w:rsid w:val="38AC1FD4"/>
    <w:rsid w:val="3A6B10EF"/>
    <w:rsid w:val="3B36794F"/>
    <w:rsid w:val="3BDB4052"/>
    <w:rsid w:val="3BF84C04"/>
    <w:rsid w:val="3C8D066A"/>
    <w:rsid w:val="3D4072AC"/>
    <w:rsid w:val="3E9D262E"/>
    <w:rsid w:val="40707D35"/>
    <w:rsid w:val="40B437EF"/>
    <w:rsid w:val="41EE0F83"/>
    <w:rsid w:val="43B810F8"/>
    <w:rsid w:val="46BA7686"/>
    <w:rsid w:val="47D75FF4"/>
    <w:rsid w:val="494C6D2D"/>
    <w:rsid w:val="4A461A11"/>
    <w:rsid w:val="4ACE54AE"/>
    <w:rsid w:val="4B3D2633"/>
    <w:rsid w:val="4F81059D"/>
    <w:rsid w:val="4FAB400F"/>
    <w:rsid w:val="50991C6A"/>
    <w:rsid w:val="50A06DEC"/>
    <w:rsid w:val="51AE02EB"/>
    <w:rsid w:val="5224454D"/>
    <w:rsid w:val="5257222D"/>
    <w:rsid w:val="53660459"/>
    <w:rsid w:val="561308F6"/>
    <w:rsid w:val="56FA12AB"/>
    <w:rsid w:val="5A334085"/>
    <w:rsid w:val="5B073A3A"/>
    <w:rsid w:val="5BD31353"/>
    <w:rsid w:val="61142568"/>
    <w:rsid w:val="6229324A"/>
    <w:rsid w:val="62404A8B"/>
    <w:rsid w:val="63B03E93"/>
    <w:rsid w:val="642643C8"/>
    <w:rsid w:val="65DF6369"/>
    <w:rsid w:val="665A1E94"/>
    <w:rsid w:val="67B04319"/>
    <w:rsid w:val="67B36EAD"/>
    <w:rsid w:val="6855246E"/>
    <w:rsid w:val="68D01D41"/>
    <w:rsid w:val="68E227B1"/>
    <w:rsid w:val="699A6CCE"/>
    <w:rsid w:val="69DA4C15"/>
    <w:rsid w:val="6B6459DC"/>
    <w:rsid w:val="6BE461F9"/>
    <w:rsid w:val="6C060AF4"/>
    <w:rsid w:val="6D3D380C"/>
    <w:rsid w:val="70A46B2D"/>
    <w:rsid w:val="71C244A4"/>
    <w:rsid w:val="72807BD3"/>
    <w:rsid w:val="72CA740E"/>
    <w:rsid w:val="778356EE"/>
    <w:rsid w:val="78EC4133"/>
    <w:rsid w:val="7ACF4169"/>
    <w:rsid w:val="7AE06D2E"/>
    <w:rsid w:val="7B657767"/>
    <w:rsid w:val="7B8F1019"/>
    <w:rsid w:val="7BDB0D7D"/>
    <w:rsid w:val="7C8D2B6B"/>
    <w:rsid w:val="7D8F646F"/>
    <w:rsid w:val="7DF35779"/>
    <w:rsid w:val="7E701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3" w:lineRule="auto"/>
      <w:outlineLvl w:val="2"/>
    </w:pPr>
    <w:rPr>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pPr>
  </w:style>
  <w:style w:type="paragraph" w:styleId="3">
    <w:name w:val="Body Text"/>
    <w:basedOn w:val="1"/>
    <w:semiHidden/>
    <w:unhideWhenUsed/>
    <w:qFormat/>
    <w:uiPriority w:val="99"/>
    <w:pPr>
      <w:spacing w:after="120"/>
    </w:pPr>
  </w:style>
  <w:style w:type="paragraph" w:styleId="7">
    <w:name w:val="Normal Indent"/>
    <w:basedOn w:val="1"/>
    <w:qFormat/>
    <w:uiPriority w:val="0"/>
    <w:pPr>
      <w:ind w:firstLine="420" w:firstLineChars="200"/>
    </w:pPr>
  </w:style>
  <w:style w:type="paragraph" w:styleId="8">
    <w:name w:val="Body Text Indent"/>
    <w:basedOn w:val="1"/>
    <w:qFormat/>
    <w:uiPriority w:val="0"/>
    <w:pPr>
      <w:ind w:firstLine="630"/>
    </w:pPr>
    <w:rPr>
      <w:sz w:val="32"/>
    </w:rPr>
  </w:style>
  <w:style w:type="paragraph" w:styleId="9">
    <w:name w:val="Body Text Indent 2"/>
    <w:basedOn w:val="1"/>
    <w:qFormat/>
    <w:uiPriority w:val="0"/>
    <w:pPr>
      <w:ind w:firstLine="630"/>
    </w:pPr>
    <w:rPr>
      <w:sz w:val="32"/>
    </w:rPr>
  </w:style>
  <w:style w:type="paragraph" w:styleId="10">
    <w:name w:val="footer"/>
    <w:basedOn w:val="1"/>
    <w:qFormat/>
    <w:uiPriority w:val="0"/>
    <w:pPr>
      <w:tabs>
        <w:tab w:val="center" w:pos="4153"/>
        <w:tab w:val="right" w:pos="8306"/>
      </w:tabs>
      <w:snapToGrid w:val="0"/>
      <w:jc w:val="left"/>
    </w:pPr>
    <w:rPr>
      <w:sz w:val="18"/>
    </w:rPr>
  </w:style>
  <w:style w:type="paragraph" w:styleId="11">
    <w:name w:val="toc 1"/>
    <w:basedOn w:val="1"/>
    <w:next w:val="1"/>
    <w:qFormat/>
    <w:uiPriority w:val="0"/>
  </w:style>
  <w:style w:type="paragraph" w:styleId="12">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13">
    <w:name w:val="Normal (Web)"/>
    <w:basedOn w:val="1"/>
    <w:qFormat/>
    <w:uiPriority w:val="0"/>
    <w:pPr>
      <w:widowControl/>
      <w:spacing w:before="100" w:beforeAutospacing="1" w:after="100" w:afterAutospacing="1"/>
      <w:jc w:val="left"/>
    </w:pPr>
    <w:rPr>
      <w:rFonts w:hAnsi="宋体"/>
      <w:sz w:val="18"/>
      <w:szCs w:val="1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qFormat/>
    <w:uiPriority w:val="99"/>
    <w:rPr>
      <w:color w:val="0000FF"/>
      <w:u w:val="single"/>
    </w:rPr>
  </w:style>
  <w:style w:type="character" w:customStyle="1" w:styleId="18">
    <w:name w:val="font11"/>
    <w:basedOn w:val="16"/>
    <w:qFormat/>
    <w:uiPriority w:val="0"/>
    <w:rPr>
      <w:rFonts w:hint="eastAsia" w:ascii="宋体" w:hAnsi="宋体" w:eastAsia="宋体" w:cs="宋体"/>
      <w:color w:val="000000"/>
      <w:sz w:val="20"/>
      <w:szCs w:val="20"/>
      <w:u w:val="none"/>
    </w:rPr>
  </w:style>
  <w:style w:type="paragraph" w:styleId="19">
    <w:name w:val="List Paragraph"/>
    <w:basedOn w:val="1"/>
    <w:qFormat/>
    <w:uiPriority w:val="34"/>
    <w:pPr>
      <w:ind w:firstLine="420" w:firstLineChars="200"/>
    </w:pPr>
  </w:style>
  <w:style w:type="paragraph" w:customStyle="1" w:styleId="20">
    <w:name w:val="Char11"/>
    <w:basedOn w:val="1"/>
    <w:qFormat/>
    <w:uiPriority w:val="0"/>
    <w:rPr>
      <w:szCs w:val="21"/>
    </w:rPr>
  </w:style>
  <w:style w:type="paragraph" w:customStyle="1" w:styleId="2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2">
    <w:name w:val="正文首行缩进两字符"/>
    <w:basedOn w:val="1"/>
    <w:qFormat/>
    <w:uiPriority w:val="0"/>
    <w:pPr>
      <w:spacing w:line="360" w:lineRule="auto"/>
      <w:ind w:firstLine="200" w:firstLineChars="200"/>
    </w:pPr>
  </w:style>
  <w:style w:type="paragraph" w:customStyle="1" w:styleId="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4">
    <w:name w:val="表格"/>
    <w:basedOn w:val="1"/>
    <w:qFormat/>
    <w:uiPriority w:val="0"/>
    <w:pPr>
      <w:spacing w:line="400" w:lineRule="exact"/>
    </w:pPr>
    <w:rPr>
      <w:sz w:val="24"/>
    </w:rPr>
  </w:style>
  <w:style w:type="character" w:customStyle="1" w:styleId="25">
    <w:name w:val="ui-area-common-c-i-r"/>
    <w:basedOn w:val="16"/>
    <w:qFormat/>
    <w:uiPriority w:val="0"/>
  </w:style>
  <w:style w:type="character" w:customStyle="1" w:styleId="26">
    <w:name w:val="ui-area-common-c-i-l"/>
    <w:basedOn w:val="16"/>
    <w:qFormat/>
    <w:uiPriority w:val="0"/>
  </w:style>
  <w:style w:type="character" w:customStyle="1" w:styleId="27">
    <w:name w:val="ui-area-common-c-i-l1"/>
    <w:basedOn w:val="16"/>
    <w:qFormat/>
    <w:uiPriority w:val="0"/>
    <w:rPr>
      <w:color w:val="F30213"/>
    </w:rPr>
  </w:style>
  <w:style w:type="character" w:customStyle="1" w:styleId="28">
    <w:name w:val="ui-area-common-c-i-r1"/>
    <w:basedOn w:val="16"/>
    <w:qFormat/>
    <w:uiPriority w:val="0"/>
    <w:rPr>
      <w:color w:val="F30213"/>
    </w:rPr>
  </w:style>
  <w:style w:type="character" w:customStyle="1" w:styleId="29">
    <w:name w:val="font51"/>
    <w:basedOn w:val="16"/>
    <w:qFormat/>
    <w:uiPriority w:val="0"/>
    <w:rPr>
      <w:rFonts w:hint="eastAsia" w:ascii="宋体" w:hAnsi="宋体" w:eastAsia="宋体" w:cs="宋体"/>
      <w:color w:val="000000"/>
      <w:sz w:val="24"/>
      <w:szCs w:val="24"/>
      <w:u w:val="none"/>
    </w:rPr>
  </w:style>
  <w:style w:type="character" w:customStyle="1" w:styleId="30">
    <w:name w:val="font91"/>
    <w:basedOn w:val="16"/>
    <w:qFormat/>
    <w:uiPriority w:val="0"/>
    <w:rPr>
      <w:rFonts w:hint="eastAsia" w:ascii="宋体" w:hAnsi="宋体" w:eastAsia="宋体" w:cs="宋体"/>
      <w:b/>
      <w:bCs/>
      <w:color w:val="000000"/>
      <w:sz w:val="24"/>
      <w:szCs w:val="24"/>
      <w:u w:val="none"/>
    </w:rPr>
  </w:style>
  <w:style w:type="character" w:customStyle="1" w:styleId="31">
    <w:name w:val="font71"/>
    <w:basedOn w:val="1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17223</Words>
  <Characters>17866</Characters>
  <Lines>117</Lines>
  <Paragraphs>33</Paragraphs>
  <TotalTime>47</TotalTime>
  <ScaleCrop>false</ScaleCrop>
  <LinksUpToDate>false</LinksUpToDate>
  <CharactersWithSpaces>18476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2021-10-29T06:40:00Z</dcterms:created>
  <dc:creator>Administrator</dc:creator>
  <cp:lastModifiedBy>化羽成风</cp:lastModifiedBy>
  <dcterms:modified xsi:type="dcterms:W3CDTF">2023-11-30T08:29:51Z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96CF28C1A3A74B1793FAAA52946AC671_13</vt:lpwstr>
  </property>
</Properties>
</file>