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960" w:firstLineChars="300"/>
        <w:rPr>
          <w:rFonts w:ascii="仿宋" w:hAnsi="仿宋" w:eastAsia="仿宋"/>
          <w:color w:val="000000" w:themeColor="text1"/>
          <w:sz w:val="32"/>
          <w:szCs w:val="32"/>
        </w:rPr>
      </w:pPr>
    </w:p>
    <w:p>
      <w:pPr>
        <w:spacing w:line="360" w:lineRule="auto"/>
        <w:ind w:firstLine="960" w:firstLineChars="300"/>
        <w:rPr>
          <w:rFonts w:ascii="仿宋" w:hAnsi="仿宋" w:eastAsia="仿宋"/>
          <w:color w:val="000000" w:themeColor="text1"/>
          <w:sz w:val="32"/>
          <w:szCs w:val="32"/>
        </w:rPr>
      </w:pPr>
    </w:p>
    <w:p>
      <w:pPr>
        <w:spacing w:line="360" w:lineRule="auto"/>
        <w:jc w:val="center"/>
        <w:rPr>
          <w:rFonts w:hint="default" w:ascii="仿宋" w:hAnsi="仿宋" w:eastAsia="仿宋"/>
          <w:color w:val="000000" w:themeColor="text1"/>
          <w:sz w:val="44"/>
          <w:szCs w:val="44"/>
          <w:lang w:val="en-US" w:eastAsia="zh-CN"/>
        </w:rPr>
      </w:pPr>
      <w:r>
        <w:rPr>
          <w:rFonts w:hint="eastAsia" w:ascii="仿宋" w:hAnsi="仿宋" w:eastAsia="仿宋"/>
          <w:color w:val="000000" w:themeColor="text1"/>
          <w:sz w:val="44"/>
          <w:szCs w:val="44"/>
        </w:rPr>
        <w:t>重庆交通职业学院</w:t>
      </w:r>
      <w:r>
        <w:rPr>
          <w:rFonts w:hint="eastAsia" w:ascii="仿宋" w:hAnsi="仿宋" w:eastAsia="仿宋"/>
          <w:color w:val="000000" w:themeColor="text1"/>
          <w:sz w:val="44"/>
          <w:szCs w:val="44"/>
          <w:lang w:val="en-US" w:eastAsia="zh-CN"/>
        </w:rPr>
        <w:t>自动驾驶</w:t>
      </w:r>
    </w:p>
    <w:p>
      <w:pPr>
        <w:spacing w:line="360" w:lineRule="auto"/>
        <w:jc w:val="center"/>
        <w:rPr>
          <w:rFonts w:ascii="仿宋" w:hAnsi="仿宋" w:eastAsia="仿宋"/>
          <w:color w:val="000000" w:themeColor="text1"/>
          <w:sz w:val="44"/>
          <w:szCs w:val="44"/>
        </w:rPr>
      </w:pPr>
      <w:r>
        <w:rPr>
          <w:rFonts w:hint="eastAsia" w:ascii="仿宋" w:hAnsi="仿宋" w:eastAsia="仿宋"/>
          <w:color w:val="000000" w:themeColor="text1"/>
          <w:sz w:val="44"/>
          <w:szCs w:val="44"/>
        </w:rPr>
        <w:t>技术</w:t>
      </w:r>
      <w:r>
        <w:rPr>
          <w:rFonts w:ascii="仿宋" w:hAnsi="仿宋" w:eastAsia="仿宋"/>
          <w:color w:val="000000" w:themeColor="text1"/>
          <w:sz w:val="44"/>
          <w:szCs w:val="44"/>
        </w:rPr>
        <w:t>服务</w:t>
      </w:r>
    </w:p>
    <w:p>
      <w:pPr>
        <w:spacing w:line="360" w:lineRule="auto"/>
        <w:jc w:val="center"/>
        <w:rPr>
          <w:rFonts w:ascii="仿宋" w:hAnsi="仿宋" w:eastAsia="仿宋"/>
          <w:color w:val="000000" w:themeColor="text1"/>
          <w:sz w:val="72"/>
          <w:szCs w:val="72"/>
        </w:rPr>
      </w:pPr>
    </w:p>
    <w:p>
      <w:pPr>
        <w:spacing w:line="360" w:lineRule="auto"/>
        <w:jc w:val="center"/>
        <w:rPr>
          <w:rFonts w:ascii="仿宋" w:hAnsi="仿宋" w:eastAsia="仿宋"/>
          <w:color w:val="000000" w:themeColor="text1"/>
          <w:sz w:val="72"/>
          <w:szCs w:val="72"/>
        </w:rPr>
      </w:pPr>
      <w:r>
        <w:rPr>
          <w:rFonts w:hint="eastAsia" w:ascii="仿宋" w:hAnsi="仿宋" w:eastAsia="仿宋"/>
          <w:color w:val="000000" w:themeColor="text1"/>
          <w:sz w:val="72"/>
          <w:szCs w:val="72"/>
        </w:rPr>
        <w:t>招</w:t>
      </w:r>
    </w:p>
    <w:p>
      <w:pPr>
        <w:spacing w:line="360" w:lineRule="auto"/>
        <w:jc w:val="center"/>
        <w:rPr>
          <w:rFonts w:ascii="仿宋" w:hAnsi="仿宋" w:eastAsia="仿宋"/>
          <w:color w:val="000000" w:themeColor="text1"/>
          <w:sz w:val="72"/>
          <w:szCs w:val="72"/>
        </w:rPr>
      </w:pPr>
      <w:r>
        <w:rPr>
          <w:rFonts w:hint="eastAsia" w:ascii="仿宋" w:hAnsi="仿宋" w:eastAsia="仿宋"/>
          <w:color w:val="000000" w:themeColor="text1"/>
          <w:sz w:val="72"/>
          <w:szCs w:val="72"/>
        </w:rPr>
        <w:t>标</w:t>
      </w:r>
    </w:p>
    <w:p>
      <w:pPr>
        <w:spacing w:line="360" w:lineRule="auto"/>
        <w:jc w:val="center"/>
        <w:rPr>
          <w:rFonts w:ascii="仿宋" w:hAnsi="仿宋" w:eastAsia="仿宋"/>
          <w:color w:val="000000" w:themeColor="text1"/>
          <w:sz w:val="72"/>
          <w:szCs w:val="72"/>
        </w:rPr>
      </w:pPr>
      <w:r>
        <w:rPr>
          <w:rFonts w:hint="eastAsia" w:ascii="仿宋" w:hAnsi="仿宋" w:eastAsia="仿宋"/>
          <w:color w:val="000000" w:themeColor="text1"/>
          <w:sz w:val="72"/>
          <w:szCs w:val="72"/>
        </w:rPr>
        <w:t>文</w:t>
      </w:r>
    </w:p>
    <w:p>
      <w:pPr>
        <w:tabs>
          <w:tab w:val="left" w:pos="3960"/>
        </w:tabs>
        <w:spacing w:line="360" w:lineRule="auto"/>
        <w:jc w:val="center"/>
        <w:rPr>
          <w:rFonts w:ascii="仿宋" w:hAnsi="仿宋" w:eastAsia="仿宋"/>
          <w:color w:val="000000" w:themeColor="text1"/>
          <w:sz w:val="72"/>
          <w:szCs w:val="72"/>
        </w:rPr>
      </w:pPr>
      <w:r>
        <w:rPr>
          <w:rFonts w:hint="eastAsia" w:ascii="仿宋" w:hAnsi="仿宋" w:eastAsia="仿宋"/>
          <w:color w:val="000000" w:themeColor="text1"/>
          <w:sz w:val="72"/>
          <w:szCs w:val="72"/>
        </w:rPr>
        <w:t>件</w:t>
      </w:r>
    </w:p>
    <w:p>
      <w:pPr>
        <w:spacing w:line="360" w:lineRule="auto"/>
        <w:jc w:val="center"/>
        <w:rPr>
          <w:rFonts w:ascii="黑体" w:hAnsi="黑体" w:eastAsia="黑体"/>
          <w:color w:val="000000" w:themeColor="text1"/>
          <w:sz w:val="30"/>
          <w:szCs w:val="30"/>
        </w:rPr>
      </w:pPr>
    </w:p>
    <w:p>
      <w:pPr>
        <w:spacing w:line="360" w:lineRule="auto"/>
        <w:jc w:val="center"/>
        <w:rPr>
          <w:rFonts w:ascii="黑体" w:hAnsi="黑体" w:eastAsia="黑体"/>
          <w:color w:val="000000" w:themeColor="text1"/>
          <w:sz w:val="30"/>
          <w:szCs w:val="30"/>
        </w:rPr>
      </w:pPr>
    </w:p>
    <w:p>
      <w:pPr>
        <w:spacing w:line="360" w:lineRule="auto"/>
        <w:jc w:val="center"/>
        <w:rPr>
          <w:rFonts w:ascii="黑体" w:hAnsi="黑体" w:eastAsia="黑体"/>
          <w:color w:val="000000" w:themeColor="text1"/>
          <w:sz w:val="30"/>
          <w:szCs w:val="30"/>
        </w:rPr>
      </w:pPr>
    </w:p>
    <w:p>
      <w:pPr>
        <w:spacing w:line="360" w:lineRule="auto"/>
        <w:jc w:val="center"/>
        <w:rPr>
          <w:rFonts w:ascii="黑体" w:hAnsi="黑体" w:eastAsia="黑体"/>
          <w:color w:val="000000" w:themeColor="text1"/>
          <w:sz w:val="32"/>
          <w:szCs w:val="32"/>
        </w:rPr>
      </w:pPr>
      <w:r>
        <w:rPr>
          <w:rFonts w:hint="eastAsia" w:ascii="黑体" w:hAnsi="黑体" w:eastAsia="黑体"/>
          <w:color w:val="000000" w:themeColor="text1"/>
          <w:sz w:val="30"/>
          <w:szCs w:val="30"/>
        </w:rPr>
        <w:t>重庆交通职业学院编制</w:t>
      </w:r>
      <w:bookmarkStart w:id="0" w:name="_Hlt101843627"/>
      <w:bookmarkEnd w:id="0"/>
      <w:bookmarkStart w:id="1" w:name="_Hlt101233737"/>
      <w:bookmarkEnd w:id="1"/>
      <w:bookmarkStart w:id="2" w:name="_Toc183682338"/>
      <w:bookmarkStart w:id="3" w:name="_Toc217446030"/>
    </w:p>
    <w:p>
      <w:pPr>
        <w:spacing w:line="360" w:lineRule="auto"/>
        <w:jc w:val="center"/>
        <w:rPr>
          <w:rFonts w:ascii="仿宋" w:hAnsi="仿宋" w:eastAsia="仿宋"/>
          <w:color w:val="000000" w:themeColor="text1"/>
          <w:sz w:val="32"/>
          <w:szCs w:val="32"/>
        </w:rPr>
      </w:pPr>
      <w:r>
        <w:rPr>
          <w:rFonts w:hint="eastAsia" w:ascii="仿宋" w:hAnsi="仿宋" w:eastAsia="仿宋"/>
          <w:color w:val="000000" w:themeColor="text1"/>
          <w:sz w:val="32"/>
          <w:szCs w:val="32"/>
        </w:rPr>
        <w:t>2022年10月</w:t>
      </w:r>
    </w:p>
    <w:p>
      <w:pPr>
        <w:widowControl/>
        <w:jc w:val="left"/>
        <w:rPr>
          <w:rFonts w:ascii="仿宋" w:hAnsi="仿宋" w:eastAsia="仿宋"/>
          <w:b/>
          <w:color w:val="000000" w:themeColor="text1"/>
          <w:sz w:val="36"/>
          <w:szCs w:val="32"/>
        </w:rPr>
      </w:pPr>
      <w:r>
        <w:rPr>
          <w:rFonts w:ascii="仿宋" w:hAnsi="仿宋" w:eastAsia="仿宋"/>
          <w:bCs/>
          <w:color w:val="000000" w:themeColor="text1"/>
          <w:sz w:val="36"/>
        </w:rPr>
        <w:br w:type="page"/>
      </w:r>
    </w:p>
    <w:p>
      <w:pPr>
        <w:pStyle w:val="3"/>
        <w:spacing w:line="360" w:lineRule="exact"/>
        <w:jc w:val="center"/>
        <w:rPr>
          <w:rFonts w:ascii="仿宋" w:hAnsi="仿宋" w:eastAsia="仿宋"/>
          <w:bCs w:val="0"/>
          <w:color w:val="000000" w:themeColor="text1"/>
          <w:sz w:val="36"/>
        </w:rPr>
      </w:pPr>
    </w:p>
    <w:p>
      <w:pPr>
        <w:pStyle w:val="3"/>
        <w:spacing w:line="360" w:lineRule="exact"/>
        <w:jc w:val="center"/>
        <w:rPr>
          <w:rFonts w:ascii="仿宋" w:hAnsi="仿宋" w:eastAsia="仿宋"/>
          <w:bCs w:val="0"/>
          <w:color w:val="000000" w:themeColor="text1"/>
          <w:sz w:val="36"/>
        </w:rPr>
      </w:pPr>
      <w:r>
        <w:rPr>
          <w:rFonts w:hint="eastAsia" w:ascii="仿宋" w:hAnsi="仿宋" w:eastAsia="仿宋"/>
          <w:bCs w:val="0"/>
          <w:color w:val="000000" w:themeColor="text1"/>
          <w:sz w:val="36"/>
        </w:rPr>
        <w:t>目    录</w:t>
      </w:r>
    </w:p>
    <w:p>
      <w:pPr>
        <w:rPr>
          <w:rFonts w:ascii="仿宋" w:hAnsi="仿宋" w:eastAsia="仿宋"/>
          <w:color w:val="000000" w:themeColor="text1"/>
        </w:rPr>
      </w:pPr>
    </w:p>
    <w:p>
      <w:pPr>
        <w:pStyle w:val="24"/>
        <w:tabs>
          <w:tab w:val="right" w:leader="dot" w:pos="8959"/>
        </w:tabs>
        <w:spacing w:line="720" w:lineRule="exact"/>
      </w:pPr>
      <w:r>
        <w:rPr>
          <w:rFonts w:ascii="仿宋" w:hAnsi="仿宋" w:eastAsia="仿宋"/>
          <w:b/>
          <w:color w:val="000000" w:themeColor="text1"/>
          <w:sz w:val="32"/>
          <w:szCs w:val="32"/>
        </w:rPr>
        <w:fldChar w:fldCharType="begin"/>
      </w:r>
      <w:r>
        <w:rPr>
          <w:rFonts w:hint="eastAsia" w:ascii="仿宋" w:hAnsi="仿宋" w:eastAsia="仿宋"/>
          <w:b/>
          <w:color w:val="000000" w:themeColor="text1"/>
          <w:sz w:val="32"/>
          <w:szCs w:val="32"/>
        </w:rPr>
        <w:instrText xml:space="preserve">TOC \o "1-1" \h \z \u</w:instrText>
      </w:r>
      <w:r>
        <w:rPr>
          <w:rFonts w:ascii="仿宋" w:hAnsi="仿宋" w:eastAsia="仿宋"/>
          <w:b/>
          <w:color w:val="000000" w:themeColor="text1"/>
          <w:sz w:val="32"/>
          <w:szCs w:val="32"/>
        </w:rPr>
        <w:fldChar w:fldCharType="separate"/>
      </w:r>
      <w:r>
        <w:fldChar w:fldCharType="begin"/>
      </w:r>
      <w:r>
        <w:instrText xml:space="preserve"> HYPERLINK \l "_Toc1253" </w:instrText>
      </w:r>
      <w:r>
        <w:fldChar w:fldCharType="separate"/>
      </w:r>
      <w:r>
        <w:rPr>
          <w:rFonts w:hint="eastAsia" w:ascii="仿宋" w:hAnsi="仿宋" w:eastAsia="仿宋"/>
        </w:rPr>
        <w:t>第一章  投标邀请</w:t>
      </w:r>
      <w:r>
        <w:tab/>
      </w:r>
      <w:r>
        <w:fldChar w:fldCharType="begin"/>
      </w:r>
      <w:r>
        <w:instrText xml:space="preserve"> PAGEREF _Toc1253 </w:instrText>
      </w:r>
      <w:r>
        <w:fldChar w:fldCharType="separate"/>
      </w:r>
      <w:r>
        <w:t>3</w:t>
      </w:r>
      <w:r>
        <w:fldChar w:fldCharType="end"/>
      </w:r>
      <w:r>
        <w:fldChar w:fldCharType="end"/>
      </w:r>
    </w:p>
    <w:p>
      <w:pPr>
        <w:pStyle w:val="24"/>
        <w:tabs>
          <w:tab w:val="right" w:leader="dot" w:pos="8959"/>
        </w:tabs>
        <w:spacing w:line="720" w:lineRule="exact"/>
      </w:pPr>
      <w:r>
        <w:fldChar w:fldCharType="begin"/>
      </w:r>
      <w:r>
        <w:instrText xml:space="preserve"> HYPERLINK \l "_Toc50" </w:instrText>
      </w:r>
      <w:r>
        <w:fldChar w:fldCharType="separate"/>
      </w:r>
      <w:r>
        <w:rPr>
          <w:rFonts w:hint="eastAsia" w:ascii="仿宋" w:hAnsi="仿宋" w:eastAsia="仿宋"/>
        </w:rPr>
        <w:t>第二章  投标人须知</w:t>
      </w:r>
      <w:r>
        <w:tab/>
      </w:r>
      <w:r>
        <w:fldChar w:fldCharType="begin"/>
      </w:r>
      <w:r>
        <w:instrText xml:space="preserve"> PAGEREF _Toc50 </w:instrText>
      </w:r>
      <w:r>
        <w:fldChar w:fldCharType="separate"/>
      </w:r>
      <w:r>
        <w:t>4</w:t>
      </w:r>
      <w:r>
        <w:fldChar w:fldCharType="end"/>
      </w:r>
      <w:r>
        <w:fldChar w:fldCharType="end"/>
      </w:r>
    </w:p>
    <w:p>
      <w:pPr>
        <w:pStyle w:val="24"/>
        <w:tabs>
          <w:tab w:val="right" w:leader="dot" w:pos="8959"/>
        </w:tabs>
        <w:spacing w:line="720" w:lineRule="exact"/>
      </w:pPr>
      <w:r>
        <w:fldChar w:fldCharType="begin"/>
      </w:r>
      <w:r>
        <w:instrText xml:space="preserve"> HYPERLINK \l "_Toc2305" </w:instrText>
      </w:r>
      <w:r>
        <w:fldChar w:fldCharType="separate"/>
      </w:r>
      <w:r>
        <w:rPr>
          <w:rFonts w:hint="eastAsia" w:ascii="仿宋" w:hAnsi="仿宋" w:eastAsia="仿宋"/>
        </w:rPr>
        <w:t>第三章  投标文件格式</w:t>
      </w:r>
      <w:r>
        <w:tab/>
      </w:r>
      <w:r>
        <w:fldChar w:fldCharType="begin"/>
      </w:r>
      <w:r>
        <w:instrText xml:space="preserve"> PAGEREF _Toc2305 </w:instrText>
      </w:r>
      <w:r>
        <w:fldChar w:fldCharType="separate"/>
      </w:r>
      <w:r>
        <w:t>15</w:t>
      </w:r>
      <w:r>
        <w:fldChar w:fldCharType="end"/>
      </w:r>
      <w:r>
        <w:fldChar w:fldCharType="end"/>
      </w:r>
    </w:p>
    <w:p>
      <w:pPr>
        <w:pStyle w:val="24"/>
        <w:tabs>
          <w:tab w:val="right" w:leader="dot" w:pos="8959"/>
        </w:tabs>
        <w:spacing w:line="720" w:lineRule="exact"/>
      </w:pPr>
      <w:r>
        <w:fldChar w:fldCharType="begin"/>
      </w:r>
      <w:r>
        <w:instrText xml:space="preserve"> HYPERLINK \l "_Toc19430" </w:instrText>
      </w:r>
      <w:r>
        <w:fldChar w:fldCharType="separate"/>
      </w:r>
      <w:r>
        <w:rPr>
          <w:rFonts w:hint="eastAsia" w:ascii="仿宋" w:hAnsi="仿宋" w:eastAsia="仿宋"/>
        </w:rPr>
        <w:t>第四章  招标项目及要求</w:t>
      </w:r>
      <w:r>
        <w:tab/>
      </w:r>
      <w:r>
        <w:fldChar w:fldCharType="begin"/>
      </w:r>
      <w:r>
        <w:instrText xml:space="preserve"> PAGEREF _Toc19430 </w:instrText>
      </w:r>
      <w:r>
        <w:fldChar w:fldCharType="separate"/>
      </w:r>
      <w:r>
        <w:t>28</w:t>
      </w:r>
      <w:r>
        <w:fldChar w:fldCharType="end"/>
      </w:r>
      <w:r>
        <w:fldChar w:fldCharType="end"/>
      </w:r>
    </w:p>
    <w:p>
      <w:pPr>
        <w:pStyle w:val="24"/>
        <w:tabs>
          <w:tab w:val="right" w:leader="dot" w:pos="8959"/>
        </w:tabs>
        <w:spacing w:line="720" w:lineRule="exact"/>
      </w:pPr>
      <w:r>
        <w:fldChar w:fldCharType="begin"/>
      </w:r>
      <w:r>
        <w:instrText xml:space="preserve"> HYPERLINK \l "_Toc17135" </w:instrText>
      </w:r>
      <w:r>
        <w:fldChar w:fldCharType="separate"/>
      </w:r>
      <w:r>
        <w:rPr>
          <w:rFonts w:hint="eastAsia" w:ascii="仿宋" w:hAnsi="仿宋" w:eastAsia="仿宋"/>
        </w:rPr>
        <w:t>第五章  评标办法</w:t>
      </w:r>
      <w:r>
        <w:tab/>
      </w:r>
      <w:r>
        <w:fldChar w:fldCharType="begin"/>
      </w:r>
      <w:r>
        <w:instrText xml:space="preserve"> PAGEREF _Toc17135 </w:instrText>
      </w:r>
      <w:r>
        <w:fldChar w:fldCharType="separate"/>
      </w:r>
      <w:r>
        <w:t>31</w:t>
      </w:r>
      <w:r>
        <w:fldChar w:fldCharType="end"/>
      </w:r>
      <w:r>
        <w:fldChar w:fldCharType="end"/>
      </w:r>
    </w:p>
    <w:p>
      <w:pPr>
        <w:spacing w:line="720" w:lineRule="exact"/>
        <w:rPr>
          <w:rFonts w:ascii="仿宋" w:hAnsi="仿宋" w:eastAsia="仿宋"/>
          <w:color w:val="000000" w:themeColor="text1"/>
        </w:rPr>
      </w:pPr>
      <w:r>
        <w:rPr>
          <w:rFonts w:ascii="仿宋" w:hAnsi="仿宋" w:eastAsia="仿宋"/>
          <w:color w:val="000000" w:themeColor="text1"/>
          <w:szCs w:val="32"/>
        </w:rPr>
        <w:fldChar w:fldCharType="end"/>
      </w:r>
    </w:p>
    <w:p>
      <w:pPr>
        <w:rPr>
          <w:rFonts w:ascii="仿宋" w:hAnsi="仿宋" w:eastAsia="仿宋"/>
          <w:color w:val="000000" w:themeColor="text1"/>
        </w:rPr>
      </w:pPr>
    </w:p>
    <w:p>
      <w:pPr>
        <w:rPr>
          <w:rFonts w:ascii="仿宋" w:hAnsi="仿宋" w:eastAsia="仿宋"/>
          <w:color w:val="000000" w:themeColor="text1"/>
        </w:rPr>
      </w:pPr>
    </w:p>
    <w:p>
      <w:pPr>
        <w:rPr>
          <w:rFonts w:ascii="仿宋" w:hAnsi="仿宋" w:eastAsia="仿宋"/>
          <w:color w:val="000000" w:themeColor="text1"/>
        </w:rPr>
      </w:pPr>
    </w:p>
    <w:p>
      <w:pPr>
        <w:rPr>
          <w:rFonts w:ascii="仿宋" w:hAnsi="仿宋" w:eastAsia="仿宋"/>
          <w:color w:val="000000" w:themeColor="text1"/>
        </w:rPr>
      </w:pPr>
    </w:p>
    <w:p>
      <w:pPr>
        <w:rPr>
          <w:rFonts w:ascii="仿宋" w:hAnsi="仿宋" w:eastAsia="仿宋"/>
          <w:color w:val="000000" w:themeColor="text1"/>
        </w:rPr>
      </w:pPr>
      <w:r>
        <w:rPr>
          <w:rFonts w:hint="eastAsia" w:ascii="仿宋" w:hAnsi="仿宋" w:eastAsia="仿宋"/>
          <w:color w:val="000000" w:themeColor="text1"/>
        </w:rPr>
        <w:br w:type="page"/>
      </w:r>
    </w:p>
    <w:p>
      <w:pPr>
        <w:pStyle w:val="2"/>
        <w:spacing w:line="240" w:lineRule="atLeast"/>
        <w:jc w:val="center"/>
        <w:rPr>
          <w:rFonts w:ascii="仿宋" w:hAnsi="仿宋" w:eastAsia="仿宋"/>
          <w:bCs w:val="0"/>
          <w:color w:val="000000" w:themeColor="text1"/>
          <w:sz w:val="36"/>
        </w:rPr>
      </w:pPr>
      <w:bookmarkStart w:id="4" w:name="_Toc1253"/>
      <w:r>
        <w:rPr>
          <w:rFonts w:hint="eastAsia" w:ascii="仿宋" w:hAnsi="仿宋" w:eastAsia="仿宋"/>
          <w:bCs w:val="0"/>
          <w:color w:val="000000" w:themeColor="text1"/>
          <w:sz w:val="36"/>
        </w:rPr>
        <w:t>第一章  投标邀请</w:t>
      </w:r>
      <w:bookmarkEnd w:id="2"/>
      <w:bookmarkEnd w:id="3"/>
      <w:bookmarkEnd w:id="4"/>
    </w:p>
    <w:p>
      <w:pPr>
        <w:spacing w:line="360" w:lineRule="auto"/>
        <w:ind w:firstLine="480" w:firstLineChars="200"/>
        <w:rPr>
          <w:rFonts w:ascii="仿宋" w:hAnsi="仿宋" w:eastAsia="仿宋"/>
          <w:b/>
          <w:color w:val="000000" w:themeColor="text1"/>
          <w:sz w:val="24"/>
        </w:rPr>
      </w:pPr>
      <w:r>
        <w:rPr>
          <w:rFonts w:hint="eastAsia" w:ascii="仿宋" w:hAnsi="仿宋" w:eastAsia="仿宋"/>
          <w:color w:val="000000" w:themeColor="text1"/>
          <w:sz w:val="24"/>
        </w:rPr>
        <w:t>重庆交通职业学院拟对</w:t>
      </w:r>
      <w:r>
        <w:rPr>
          <w:rFonts w:hint="eastAsia" w:ascii="仿宋" w:hAnsi="仿宋" w:eastAsia="仿宋"/>
          <w:color w:val="000000" w:themeColor="text1"/>
          <w:sz w:val="24"/>
          <w:lang w:val="en-US" w:eastAsia="zh-CN"/>
        </w:rPr>
        <w:t>自动驾驶</w:t>
      </w:r>
      <w:r>
        <w:rPr>
          <w:rFonts w:hint="eastAsia" w:ascii="仿宋" w:hAnsi="仿宋" w:eastAsia="仿宋"/>
          <w:color w:val="000000" w:themeColor="text1"/>
          <w:sz w:val="24"/>
        </w:rPr>
        <w:t>技术</w:t>
      </w:r>
      <w:r>
        <w:rPr>
          <w:rFonts w:ascii="仿宋" w:hAnsi="仿宋" w:eastAsia="仿宋"/>
          <w:color w:val="000000" w:themeColor="text1"/>
          <w:sz w:val="24"/>
        </w:rPr>
        <w:t>服务</w:t>
      </w:r>
      <w:r>
        <w:rPr>
          <w:rFonts w:hint="eastAsia" w:ascii="仿宋" w:hAnsi="仿宋" w:eastAsia="仿宋"/>
          <w:color w:val="000000" w:themeColor="text1"/>
          <w:sz w:val="24"/>
        </w:rPr>
        <w:t xml:space="preserve">项目进行国内公开招标，兹邀请符合本次招标要求的拟合作方参加投标。 </w:t>
      </w:r>
    </w:p>
    <w:p>
      <w:pPr>
        <w:spacing w:line="360" w:lineRule="auto"/>
        <w:ind w:right="51" w:rightChars="15" w:firstLine="482" w:firstLineChars="200"/>
        <w:rPr>
          <w:rFonts w:ascii="仿宋" w:hAnsi="仿宋" w:eastAsia="仿宋"/>
          <w:b/>
          <w:color w:val="000000" w:themeColor="text1"/>
          <w:sz w:val="24"/>
          <w:szCs w:val="28"/>
        </w:rPr>
      </w:pPr>
      <w:r>
        <w:rPr>
          <w:rFonts w:hint="eastAsia" w:ascii="仿宋" w:hAnsi="仿宋" w:eastAsia="仿宋"/>
          <w:b/>
          <w:color w:val="000000" w:themeColor="text1"/>
          <w:sz w:val="24"/>
          <w:szCs w:val="28"/>
        </w:rPr>
        <w:t>一、招标项目：重庆交通职业学院</w:t>
      </w:r>
      <w:r>
        <w:rPr>
          <w:rFonts w:hint="eastAsia" w:ascii="仿宋" w:hAnsi="仿宋" w:eastAsia="仿宋"/>
          <w:b/>
          <w:color w:val="000000" w:themeColor="text1"/>
          <w:sz w:val="24"/>
          <w:szCs w:val="28"/>
          <w:lang w:val="en-US" w:eastAsia="zh-CN"/>
        </w:rPr>
        <w:t>自动驾驶</w:t>
      </w:r>
      <w:r>
        <w:rPr>
          <w:rFonts w:hint="eastAsia" w:ascii="仿宋" w:hAnsi="仿宋" w:eastAsia="仿宋"/>
          <w:b/>
          <w:color w:val="000000" w:themeColor="text1"/>
          <w:sz w:val="24"/>
          <w:szCs w:val="28"/>
        </w:rPr>
        <w:t>技术</w:t>
      </w:r>
      <w:r>
        <w:rPr>
          <w:rFonts w:ascii="仿宋" w:hAnsi="仿宋" w:eastAsia="仿宋"/>
          <w:b/>
          <w:color w:val="000000" w:themeColor="text1"/>
          <w:sz w:val="24"/>
          <w:szCs w:val="28"/>
        </w:rPr>
        <w:t>服务</w:t>
      </w:r>
    </w:p>
    <w:p>
      <w:pPr>
        <w:spacing w:line="360" w:lineRule="auto"/>
        <w:ind w:firstLine="482" w:firstLineChars="200"/>
        <w:rPr>
          <w:rFonts w:ascii="仿宋" w:hAnsi="仿宋" w:eastAsia="仿宋"/>
          <w:b/>
          <w:color w:val="000000" w:themeColor="text1"/>
          <w:sz w:val="24"/>
        </w:rPr>
      </w:pPr>
      <w:r>
        <w:rPr>
          <w:rFonts w:hint="eastAsia" w:ascii="仿宋" w:hAnsi="仿宋" w:eastAsia="仿宋"/>
          <w:b/>
          <w:bCs/>
          <w:color w:val="000000" w:themeColor="text1"/>
          <w:sz w:val="24"/>
        </w:rPr>
        <w:t>二、</w:t>
      </w:r>
      <w:r>
        <w:rPr>
          <w:rFonts w:hint="eastAsia" w:ascii="仿宋" w:hAnsi="仿宋" w:eastAsia="仿宋"/>
          <w:b/>
          <w:color w:val="000000" w:themeColor="text1"/>
          <w:sz w:val="24"/>
        </w:rPr>
        <w:t>招标项目简介：</w:t>
      </w:r>
    </w:p>
    <w:p>
      <w:pPr>
        <w:pStyle w:val="59"/>
        <w:spacing w:afterLines="50" w:line="420" w:lineRule="exact"/>
        <w:ind w:left="420" w:firstLine="0" w:firstLineChars="0"/>
        <w:rPr>
          <w:rFonts w:ascii="仿宋" w:hAnsi="仿宋" w:eastAsia="仿宋"/>
          <w:b/>
          <w:color w:val="000000" w:themeColor="text1"/>
          <w:sz w:val="24"/>
        </w:rPr>
      </w:pPr>
      <w:r>
        <w:rPr>
          <w:rFonts w:hint="eastAsia" w:ascii="仿宋" w:hAnsi="仿宋" w:eastAsia="仿宋"/>
          <w:b/>
          <w:color w:val="000000" w:themeColor="text1"/>
          <w:sz w:val="24"/>
        </w:rPr>
        <w:t xml:space="preserve">   重庆交通职业学院根据学校发展及教学工作需要，</w:t>
      </w:r>
      <w:r>
        <w:rPr>
          <w:rFonts w:hint="eastAsia" w:ascii="仿宋" w:hAnsi="仿宋" w:eastAsia="仿宋"/>
          <w:b/>
          <w:color w:val="000000" w:themeColor="text1"/>
          <w:sz w:val="24"/>
          <w:szCs w:val="22"/>
        </w:rPr>
        <w:t>为进一步提高学校</w:t>
      </w:r>
      <w:r>
        <w:rPr>
          <w:rFonts w:hint="eastAsia" w:ascii="仿宋" w:hAnsi="仿宋" w:eastAsia="仿宋"/>
          <w:b/>
          <w:color w:val="000000" w:themeColor="text1"/>
          <w:sz w:val="24"/>
          <w:szCs w:val="22"/>
          <w:lang w:val="en-US" w:eastAsia="zh-CN"/>
        </w:rPr>
        <w:t>自动</w:t>
      </w:r>
      <w:r>
        <w:rPr>
          <w:rFonts w:hint="eastAsia" w:ascii="仿宋" w:hAnsi="仿宋" w:eastAsia="仿宋"/>
          <w:b/>
          <w:color w:val="000000" w:themeColor="text1"/>
          <w:sz w:val="24"/>
          <w:szCs w:val="22"/>
        </w:rPr>
        <w:t>驾驶技术科研和教学水平，</w:t>
      </w:r>
      <w:r>
        <w:rPr>
          <w:rFonts w:hint="eastAsia" w:ascii="仿宋" w:hAnsi="仿宋" w:eastAsia="仿宋"/>
          <w:b/>
          <w:color w:val="000000" w:themeColor="text1"/>
          <w:sz w:val="24"/>
        </w:rPr>
        <w:t>拟</w:t>
      </w:r>
      <w:r>
        <w:rPr>
          <w:rFonts w:hint="eastAsia" w:ascii="仿宋" w:hAnsi="仿宋" w:eastAsia="仿宋"/>
          <w:b/>
          <w:color w:val="000000" w:themeColor="text1"/>
          <w:sz w:val="24"/>
          <w:lang w:val="en-US" w:eastAsia="zh-CN"/>
        </w:rPr>
        <w:t>寻求自动驾驶技术服务供应商</w:t>
      </w:r>
      <w:r>
        <w:rPr>
          <w:rFonts w:hint="eastAsia" w:ascii="仿宋" w:hAnsi="仿宋" w:eastAsia="仿宋"/>
          <w:b/>
          <w:color w:val="000000" w:themeColor="text1"/>
          <w:sz w:val="24"/>
          <w:szCs w:val="22"/>
        </w:rPr>
        <w:t>，</w:t>
      </w:r>
      <w:r>
        <w:rPr>
          <w:rFonts w:hint="eastAsia" w:ascii="仿宋" w:hAnsi="仿宋" w:eastAsia="仿宋"/>
          <w:b/>
          <w:color w:val="000000" w:themeColor="text1"/>
          <w:sz w:val="24"/>
          <w:szCs w:val="22"/>
          <w:lang w:val="en-US" w:eastAsia="zh-CN"/>
        </w:rPr>
        <w:t>指导</w:t>
      </w:r>
      <w:r>
        <w:rPr>
          <w:rFonts w:hint="eastAsia" w:ascii="仿宋" w:hAnsi="仿宋" w:eastAsia="仿宋"/>
          <w:b/>
          <w:bCs/>
          <w:color w:val="000000" w:themeColor="text1"/>
          <w:sz w:val="24"/>
        </w:rPr>
        <w:t>学校</w:t>
      </w:r>
      <w:r>
        <w:rPr>
          <w:rFonts w:hint="eastAsia" w:ascii="仿宋" w:hAnsi="仿宋" w:eastAsia="仿宋"/>
          <w:b/>
          <w:color w:val="000000" w:themeColor="text1"/>
          <w:sz w:val="24"/>
          <w:szCs w:val="22"/>
        </w:rPr>
        <w:t>无人驾驶机器人</w:t>
      </w:r>
      <w:r>
        <w:rPr>
          <w:rFonts w:hint="eastAsia" w:ascii="仿宋" w:hAnsi="仿宋" w:eastAsia="仿宋"/>
          <w:b/>
          <w:color w:val="000000" w:themeColor="text1"/>
          <w:sz w:val="24"/>
          <w:szCs w:val="22"/>
          <w:lang w:eastAsia="zh-CN"/>
        </w:rPr>
        <w:t>、</w:t>
      </w:r>
      <w:r>
        <w:rPr>
          <w:rFonts w:hint="eastAsia" w:ascii="仿宋" w:hAnsi="仿宋" w:eastAsia="仿宋"/>
          <w:b/>
          <w:color w:val="000000" w:themeColor="text1"/>
          <w:sz w:val="24"/>
          <w:szCs w:val="22"/>
          <w:lang w:val="en-US" w:eastAsia="zh-CN"/>
        </w:rPr>
        <w:t>无人机自动驾驶等</w:t>
      </w:r>
      <w:r>
        <w:rPr>
          <w:rFonts w:hint="eastAsia" w:ascii="仿宋" w:hAnsi="仿宋" w:eastAsia="仿宋"/>
          <w:b/>
          <w:color w:val="000000" w:themeColor="text1"/>
          <w:sz w:val="24"/>
          <w:szCs w:val="22"/>
        </w:rPr>
        <w:t>方面</w:t>
      </w:r>
      <w:r>
        <w:rPr>
          <w:rFonts w:hint="eastAsia" w:ascii="仿宋" w:hAnsi="仿宋" w:eastAsia="仿宋"/>
          <w:b/>
          <w:color w:val="000000" w:themeColor="text1"/>
          <w:sz w:val="24"/>
          <w:szCs w:val="22"/>
          <w:lang w:val="en-US" w:eastAsia="zh-CN"/>
        </w:rPr>
        <w:t>研发</w:t>
      </w:r>
      <w:r>
        <w:rPr>
          <w:rFonts w:hint="eastAsia" w:ascii="仿宋" w:hAnsi="仿宋" w:eastAsia="仿宋"/>
          <w:b/>
          <w:color w:val="000000" w:themeColor="text1"/>
          <w:sz w:val="24"/>
          <w:szCs w:val="22"/>
        </w:rPr>
        <w:t>，同时也</w:t>
      </w:r>
      <w:r>
        <w:rPr>
          <w:rFonts w:hint="eastAsia" w:ascii="仿宋" w:hAnsi="仿宋" w:eastAsia="仿宋"/>
          <w:b/>
          <w:bCs/>
          <w:color w:val="000000" w:themeColor="text1"/>
          <w:sz w:val="24"/>
        </w:rPr>
        <w:t>为学校培养</w:t>
      </w:r>
      <w:r>
        <w:rPr>
          <w:rFonts w:hint="eastAsia" w:ascii="仿宋" w:hAnsi="仿宋" w:eastAsia="仿宋"/>
          <w:b/>
          <w:bCs/>
          <w:color w:val="000000" w:themeColor="text1"/>
          <w:sz w:val="24"/>
          <w:lang w:val="en-US" w:eastAsia="zh-CN"/>
        </w:rPr>
        <w:t>自动</w:t>
      </w:r>
      <w:r>
        <w:rPr>
          <w:rFonts w:hint="eastAsia" w:ascii="仿宋" w:hAnsi="仿宋" w:eastAsia="仿宋"/>
          <w:b/>
          <w:bCs/>
          <w:color w:val="000000" w:themeColor="text1"/>
          <w:sz w:val="24"/>
        </w:rPr>
        <w:t>驾驶相关专业学生提供教材及</w:t>
      </w:r>
      <w:r>
        <w:rPr>
          <w:rFonts w:hint="eastAsia" w:ascii="仿宋" w:hAnsi="仿宋" w:eastAsia="仿宋"/>
          <w:b/>
          <w:bCs/>
          <w:color w:val="000000" w:themeColor="text1"/>
          <w:sz w:val="24"/>
          <w:lang w:val="en-US" w:eastAsia="zh-CN"/>
        </w:rPr>
        <w:t>教学资源</w:t>
      </w:r>
      <w:r>
        <w:rPr>
          <w:rFonts w:hint="eastAsia" w:ascii="仿宋" w:hAnsi="仿宋" w:eastAsia="仿宋"/>
          <w:b/>
          <w:bCs/>
          <w:color w:val="000000" w:themeColor="text1"/>
          <w:sz w:val="24"/>
        </w:rPr>
        <w:t>。</w:t>
      </w:r>
    </w:p>
    <w:p>
      <w:pPr>
        <w:pStyle w:val="59"/>
        <w:spacing w:afterLines="50" w:line="420" w:lineRule="exact"/>
        <w:ind w:left="420" w:firstLine="0" w:firstLineChars="0"/>
        <w:rPr>
          <w:rFonts w:ascii="仿宋" w:hAnsi="仿宋" w:eastAsia="仿宋"/>
          <w:b/>
          <w:color w:val="000000" w:themeColor="text1"/>
          <w:sz w:val="24"/>
        </w:rPr>
      </w:pPr>
    </w:p>
    <w:tbl>
      <w:tblPr>
        <w:tblStyle w:val="31"/>
        <w:tblW w:w="8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914"/>
        <w:gridCol w:w="326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193" w:type="dxa"/>
            <w:tcBorders>
              <w:top w:val="single" w:color="auto" w:sz="4" w:space="0"/>
              <w:left w:val="single" w:color="auto" w:sz="4" w:space="0"/>
              <w:bottom w:val="single" w:color="auto" w:sz="4" w:space="0"/>
              <w:right w:val="single" w:color="auto" w:sz="4" w:space="0"/>
            </w:tcBorders>
            <w:vAlign w:val="center"/>
          </w:tcPr>
          <w:p>
            <w:pPr>
              <w:spacing w:afterLines="50" w:line="420" w:lineRule="exact"/>
              <w:jc w:val="center"/>
              <w:rPr>
                <w:rFonts w:ascii="仿宋" w:hAnsi="仿宋" w:eastAsia="仿宋"/>
                <w:b/>
                <w:bCs/>
                <w:color w:val="000000" w:themeColor="text1"/>
                <w:sz w:val="24"/>
              </w:rPr>
            </w:pPr>
            <w:r>
              <w:rPr>
                <w:rFonts w:hint="eastAsia" w:ascii="仿宋" w:hAnsi="仿宋" w:eastAsia="仿宋"/>
                <w:b/>
                <w:bCs/>
                <w:color w:val="000000" w:themeColor="text1"/>
                <w:sz w:val="24"/>
              </w:rPr>
              <w:t>项目名称</w:t>
            </w:r>
          </w:p>
        </w:tc>
        <w:tc>
          <w:tcPr>
            <w:tcW w:w="914" w:type="dxa"/>
            <w:tcBorders>
              <w:top w:val="single" w:color="auto" w:sz="4" w:space="0"/>
              <w:left w:val="single" w:color="auto" w:sz="4" w:space="0"/>
              <w:bottom w:val="single" w:color="auto" w:sz="4" w:space="0"/>
              <w:right w:val="single" w:color="auto" w:sz="4" w:space="0"/>
            </w:tcBorders>
            <w:vAlign w:val="center"/>
          </w:tcPr>
          <w:p>
            <w:pPr>
              <w:spacing w:afterLines="50" w:line="420" w:lineRule="exact"/>
              <w:jc w:val="center"/>
              <w:rPr>
                <w:rFonts w:ascii="仿宋" w:hAnsi="仿宋" w:eastAsia="仿宋"/>
                <w:b/>
                <w:bCs/>
                <w:color w:val="000000" w:themeColor="text1"/>
                <w:sz w:val="24"/>
              </w:rPr>
            </w:pPr>
            <w:r>
              <w:rPr>
                <w:rFonts w:hint="eastAsia" w:ascii="仿宋" w:hAnsi="仿宋" w:eastAsia="仿宋"/>
                <w:b/>
                <w:bCs/>
                <w:color w:val="000000" w:themeColor="text1"/>
                <w:sz w:val="24"/>
              </w:rPr>
              <w:t>数量</w:t>
            </w:r>
          </w:p>
        </w:tc>
        <w:tc>
          <w:tcPr>
            <w:tcW w:w="3262" w:type="dxa"/>
            <w:tcBorders>
              <w:top w:val="single" w:color="auto" w:sz="4" w:space="0"/>
              <w:left w:val="single" w:color="auto" w:sz="4" w:space="0"/>
              <w:bottom w:val="single" w:color="auto" w:sz="4" w:space="0"/>
              <w:right w:val="single" w:color="auto" w:sz="4" w:space="0"/>
            </w:tcBorders>
            <w:vAlign w:val="center"/>
          </w:tcPr>
          <w:p>
            <w:pPr>
              <w:spacing w:afterLines="50" w:line="420" w:lineRule="exact"/>
              <w:jc w:val="center"/>
              <w:rPr>
                <w:rFonts w:ascii="仿宋" w:hAnsi="仿宋" w:eastAsia="仿宋"/>
                <w:b/>
                <w:bCs/>
                <w:color w:val="000000" w:themeColor="text1"/>
                <w:sz w:val="24"/>
              </w:rPr>
            </w:pPr>
            <w:r>
              <w:rPr>
                <w:rFonts w:hint="eastAsia" w:ascii="仿宋" w:hAnsi="仿宋" w:eastAsia="仿宋"/>
                <w:b/>
                <w:bCs/>
                <w:color w:val="000000" w:themeColor="text1"/>
                <w:sz w:val="24"/>
              </w:rPr>
              <w:t>交货地点</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Lines="50" w:line="420" w:lineRule="exact"/>
              <w:jc w:val="center"/>
              <w:rPr>
                <w:rFonts w:ascii="仿宋" w:hAnsi="仿宋" w:eastAsia="仿宋"/>
                <w:b/>
                <w:bCs/>
                <w:color w:val="000000" w:themeColor="text1"/>
                <w:sz w:val="24"/>
              </w:rPr>
            </w:pPr>
            <w:r>
              <w:rPr>
                <w:rFonts w:hint="eastAsia" w:ascii="仿宋" w:hAnsi="仿宋" w:eastAsia="仿宋"/>
                <w:b/>
                <w:bCs/>
                <w:color w:val="000000" w:themeColor="text1"/>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193" w:type="dxa"/>
            <w:tcBorders>
              <w:top w:val="single" w:color="auto" w:sz="4" w:space="0"/>
              <w:left w:val="single" w:color="auto" w:sz="4" w:space="0"/>
              <w:bottom w:val="single" w:color="auto" w:sz="4" w:space="0"/>
              <w:right w:val="single" w:color="auto" w:sz="4" w:space="0"/>
            </w:tcBorders>
            <w:vAlign w:val="center"/>
          </w:tcPr>
          <w:p>
            <w:pPr>
              <w:spacing w:afterLines="50" w:line="420" w:lineRule="exact"/>
              <w:jc w:val="center"/>
              <w:rPr>
                <w:rFonts w:ascii="仿宋" w:hAnsi="仿宋" w:eastAsia="仿宋"/>
                <w:b/>
                <w:bCs/>
                <w:color w:val="000000" w:themeColor="text1"/>
                <w:sz w:val="24"/>
              </w:rPr>
            </w:pPr>
            <w:r>
              <w:rPr>
                <w:rFonts w:hint="eastAsia" w:ascii="仿宋" w:hAnsi="仿宋" w:eastAsia="仿宋"/>
                <w:b/>
                <w:color w:val="000000" w:themeColor="text1"/>
                <w:sz w:val="24"/>
                <w:szCs w:val="28"/>
                <w:lang w:val="en-US" w:eastAsia="zh-CN"/>
              </w:rPr>
              <w:t>自动驾驶</w:t>
            </w:r>
            <w:r>
              <w:rPr>
                <w:rFonts w:ascii="仿宋" w:hAnsi="仿宋" w:eastAsia="仿宋"/>
                <w:b/>
                <w:color w:val="000000" w:themeColor="text1"/>
                <w:sz w:val="24"/>
                <w:szCs w:val="28"/>
              </w:rPr>
              <w:t>技术服务</w:t>
            </w:r>
          </w:p>
        </w:tc>
        <w:tc>
          <w:tcPr>
            <w:tcW w:w="914" w:type="dxa"/>
            <w:tcBorders>
              <w:top w:val="single" w:color="auto" w:sz="4" w:space="0"/>
              <w:left w:val="single" w:color="auto" w:sz="4" w:space="0"/>
              <w:bottom w:val="single" w:color="auto" w:sz="4" w:space="0"/>
              <w:right w:val="single" w:color="auto" w:sz="4" w:space="0"/>
            </w:tcBorders>
            <w:vAlign w:val="center"/>
          </w:tcPr>
          <w:p>
            <w:pPr>
              <w:spacing w:afterLines="50" w:line="420" w:lineRule="exact"/>
              <w:jc w:val="center"/>
              <w:rPr>
                <w:rFonts w:ascii="仿宋" w:hAnsi="仿宋" w:eastAsia="仿宋"/>
                <w:b/>
                <w:bCs/>
                <w:color w:val="000000" w:themeColor="text1"/>
                <w:sz w:val="24"/>
              </w:rPr>
            </w:pPr>
          </w:p>
        </w:tc>
        <w:tc>
          <w:tcPr>
            <w:tcW w:w="3262" w:type="dxa"/>
            <w:tcBorders>
              <w:top w:val="single" w:color="auto" w:sz="4" w:space="0"/>
              <w:left w:val="single" w:color="auto" w:sz="4" w:space="0"/>
              <w:bottom w:val="single" w:color="auto" w:sz="4" w:space="0"/>
              <w:right w:val="single" w:color="auto" w:sz="4" w:space="0"/>
            </w:tcBorders>
            <w:vAlign w:val="center"/>
          </w:tcPr>
          <w:p>
            <w:pPr>
              <w:spacing w:afterLines="50" w:line="420" w:lineRule="exact"/>
              <w:jc w:val="center"/>
              <w:rPr>
                <w:rFonts w:ascii="仿宋" w:hAnsi="仿宋" w:eastAsia="仿宋"/>
                <w:b/>
                <w:bCs/>
                <w:color w:val="000000" w:themeColor="text1"/>
                <w:sz w:val="24"/>
              </w:rPr>
            </w:pPr>
            <w:r>
              <w:rPr>
                <w:rFonts w:hint="eastAsia" w:ascii="仿宋" w:hAnsi="仿宋" w:eastAsia="仿宋"/>
                <w:b/>
                <w:bCs/>
                <w:color w:val="000000" w:themeColor="text1"/>
                <w:sz w:val="24"/>
              </w:rPr>
              <w:t>重庆交通职业学院</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Lines="50" w:line="420" w:lineRule="exact"/>
              <w:jc w:val="center"/>
              <w:rPr>
                <w:rFonts w:ascii="仿宋" w:hAnsi="仿宋" w:eastAsia="仿宋"/>
                <w:b/>
                <w:bCs/>
                <w:color w:val="000000" w:themeColor="text1"/>
                <w:sz w:val="24"/>
              </w:rPr>
            </w:pPr>
            <w:r>
              <w:rPr>
                <w:rFonts w:hint="eastAsia" w:ascii="仿宋" w:hAnsi="仿宋" w:eastAsia="仿宋"/>
                <w:b/>
                <w:bCs/>
                <w:color w:val="000000" w:themeColor="text1"/>
                <w:sz w:val="24"/>
              </w:rPr>
              <w:t>40日历天内</w:t>
            </w:r>
          </w:p>
        </w:tc>
      </w:tr>
    </w:tbl>
    <w:p>
      <w:pPr>
        <w:spacing w:afterLines="50" w:line="420" w:lineRule="exact"/>
        <w:ind w:firstLine="482" w:firstLineChars="200"/>
        <w:rPr>
          <w:rFonts w:ascii="仿宋" w:hAnsi="仿宋" w:eastAsia="仿宋"/>
          <w:b/>
          <w:bCs/>
          <w:color w:val="000000" w:themeColor="text1"/>
          <w:sz w:val="24"/>
        </w:rPr>
      </w:pPr>
      <w:r>
        <w:rPr>
          <w:rFonts w:hint="eastAsia" w:ascii="仿宋" w:hAnsi="仿宋" w:eastAsia="仿宋"/>
          <w:b/>
          <w:bCs/>
          <w:color w:val="000000" w:themeColor="text1"/>
          <w:sz w:val="24"/>
        </w:rPr>
        <w:t xml:space="preserve">三、投标人应具备的资格条件： </w:t>
      </w:r>
    </w:p>
    <w:p>
      <w:pPr>
        <w:pStyle w:val="74"/>
        <w:spacing w:line="460" w:lineRule="exact"/>
        <w:ind w:firstLine="480" w:firstLineChars="200"/>
        <w:rPr>
          <w:rFonts w:ascii="仿宋" w:hAnsi="仿宋" w:eastAsia="仿宋"/>
          <w:color w:val="000000" w:themeColor="text1"/>
          <w:sz w:val="24"/>
          <w:szCs w:val="24"/>
        </w:rPr>
      </w:pPr>
      <w:bookmarkStart w:id="5" w:name="PO_供应商资格条件_1"/>
      <w:r>
        <w:rPr>
          <w:rFonts w:hint="eastAsia" w:ascii="仿宋" w:hAnsi="仿宋" w:eastAsia="仿宋"/>
          <w:color w:val="000000" w:themeColor="text1"/>
          <w:sz w:val="24"/>
          <w:szCs w:val="24"/>
        </w:rPr>
        <w:t>1、在中华人民共和国境内注册，具有独立法人资格的合法企业（提供营业执照副本、税务登记证副本、组织机构代码证副本）；</w:t>
      </w:r>
    </w:p>
    <w:p>
      <w:pPr>
        <w:pStyle w:val="74"/>
        <w:spacing w:line="46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2、财务状况或银行资信状况良好；</w:t>
      </w:r>
    </w:p>
    <w:p>
      <w:pPr>
        <w:pStyle w:val="74"/>
        <w:spacing w:line="46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3、参加此采购活动前三年内，在经营活动中没有重大违法记录；</w:t>
      </w:r>
    </w:p>
    <w:p>
      <w:pPr>
        <w:pStyle w:val="74"/>
        <w:spacing w:line="46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4、不接受联合体投标。</w:t>
      </w:r>
    </w:p>
    <w:bookmarkEnd w:id="5"/>
    <w:p>
      <w:pPr>
        <w:spacing w:after="50" w:line="420" w:lineRule="exact"/>
        <w:ind w:firstLine="482" w:firstLineChars="200"/>
        <w:rPr>
          <w:rFonts w:ascii="仿宋" w:hAnsi="仿宋" w:eastAsia="仿宋" w:cs="宋体"/>
          <w:b/>
          <w:bCs/>
          <w:color w:val="000000" w:themeColor="text1"/>
          <w:sz w:val="24"/>
          <w:lang w:val="zh-CN"/>
        </w:rPr>
      </w:pPr>
      <w:r>
        <w:rPr>
          <w:rFonts w:hint="eastAsia" w:ascii="仿宋" w:hAnsi="仿宋" w:eastAsia="仿宋" w:cs="宋体"/>
          <w:b/>
          <w:bCs/>
          <w:color w:val="000000" w:themeColor="text1"/>
          <w:sz w:val="24"/>
        </w:rPr>
        <w:t>四</w:t>
      </w:r>
      <w:r>
        <w:rPr>
          <w:rFonts w:hint="eastAsia" w:ascii="仿宋" w:hAnsi="仿宋" w:eastAsia="仿宋" w:cs="宋体"/>
          <w:b/>
          <w:bCs/>
          <w:color w:val="000000" w:themeColor="text1"/>
          <w:sz w:val="24"/>
          <w:lang w:val="zh-CN"/>
        </w:rPr>
        <w:t>、资格审查：</w:t>
      </w:r>
    </w:p>
    <w:p>
      <w:pPr>
        <w:spacing w:after="50" w:line="420" w:lineRule="exact"/>
        <w:ind w:firstLine="480" w:firstLineChars="200"/>
        <w:rPr>
          <w:rFonts w:ascii="仿宋" w:hAnsi="仿宋" w:eastAsia="仿宋" w:cs="宋体"/>
          <w:bCs/>
          <w:color w:val="000000" w:themeColor="text1"/>
          <w:sz w:val="24"/>
          <w:lang w:val="zh-CN"/>
        </w:rPr>
      </w:pPr>
      <w:bookmarkStart w:id="6" w:name="PO_默认文件内容_2"/>
      <w:r>
        <w:rPr>
          <w:rFonts w:hint="eastAsia" w:ascii="仿宋" w:hAnsi="仿宋" w:eastAsia="仿宋" w:cs="宋体"/>
          <w:bCs/>
          <w:color w:val="000000" w:themeColor="text1"/>
          <w:sz w:val="24"/>
          <w:lang w:val="zh-CN"/>
        </w:rPr>
        <w:t>除明确要求在</w:t>
      </w:r>
      <w:r>
        <w:rPr>
          <w:rFonts w:hint="eastAsia" w:ascii="仿宋" w:hAnsi="仿宋" w:eastAsia="仿宋" w:cs="宋体"/>
          <w:bCs/>
          <w:color w:val="000000" w:themeColor="text1"/>
          <w:sz w:val="24"/>
        </w:rPr>
        <w:t>获取</w:t>
      </w:r>
      <w:r>
        <w:rPr>
          <w:rFonts w:hint="eastAsia" w:ascii="仿宋" w:hAnsi="仿宋" w:eastAsia="仿宋" w:cs="宋体"/>
          <w:bCs/>
          <w:color w:val="000000" w:themeColor="text1"/>
          <w:sz w:val="24"/>
          <w:lang w:val="zh-CN"/>
        </w:rPr>
        <w:t>招标文件时需提供的资格证明文件外，本项目投标供应商的资格条件在评标时进行审查。供应商应在投标文件中按招标文件的规定和要求附上所有的资格证明文件，要求提供复印件的必须加盖单位印章，并在必要时提供原件备查。若提供的资格证明文件不全或不实，将导致其投标或中标资格被取消。</w:t>
      </w:r>
    </w:p>
    <w:bookmarkEnd w:id="6"/>
    <w:p>
      <w:pPr>
        <w:spacing w:after="50" w:line="420" w:lineRule="exact"/>
        <w:ind w:firstLine="482" w:firstLineChars="200"/>
        <w:rPr>
          <w:rFonts w:ascii="仿宋" w:hAnsi="仿宋" w:eastAsia="仿宋"/>
          <w:b/>
          <w:color w:val="000000" w:themeColor="text1"/>
          <w:sz w:val="24"/>
        </w:rPr>
      </w:pPr>
      <w:r>
        <w:rPr>
          <w:rFonts w:hint="eastAsia" w:ascii="仿宋" w:hAnsi="仿宋" w:eastAsia="仿宋"/>
          <w:b/>
          <w:color w:val="000000" w:themeColor="text1"/>
          <w:sz w:val="24"/>
        </w:rPr>
        <w:t>五、招标文件获取时间、地点：</w:t>
      </w:r>
    </w:p>
    <w:p>
      <w:pPr>
        <w:spacing w:afterLines="50" w:line="420" w:lineRule="exact"/>
        <w:ind w:firstLine="480" w:firstLineChars="200"/>
        <w:rPr>
          <w:rFonts w:ascii="仿宋" w:hAnsi="仿宋" w:eastAsia="仿宋"/>
          <w:sz w:val="24"/>
        </w:rPr>
      </w:pPr>
      <w:bookmarkStart w:id="7" w:name="PO_默认文件内容_47"/>
      <w:r>
        <w:rPr>
          <w:rFonts w:hint="eastAsia" w:ascii="仿宋" w:hAnsi="仿宋" w:eastAsia="仿宋"/>
          <w:sz w:val="24"/>
        </w:rPr>
        <w:t>招标文件自2022年 10月24日至2022年10月28日每天上午9:00- 12:00，下午13:00-16:00（北京时间，法定节假日除外）在我校指定网站(</w:t>
      </w:r>
      <w:r>
        <w:rPr>
          <w:rFonts w:ascii="仿宋" w:hAnsi="仿宋" w:eastAsia="仿宋"/>
          <w:sz w:val="24"/>
        </w:rPr>
        <w:t>http://www.cqjy.edu.cn/</w:t>
      </w:r>
      <w:r>
        <w:rPr>
          <w:rFonts w:hint="eastAsia" w:ascii="仿宋" w:hAnsi="仿宋" w:eastAsia="仿宋"/>
          <w:sz w:val="24"/>
        </w:rPr>
        <w:t>)下载，下载后告知招标方联系人。</w:t>
      </w:r>
    </w:p>
    <w:p>
      <w:pPr>
        <w:spacing w:afterLines="50" w:line="420" w:lineRule="exact"/>
        <w:ind w:firstLine="482" w:firstLineChars="200"/>
        <w:rPr>
          <w:rFonts w:ascii="仿宋" w:hAnsi="仿宋" w:eastAsia="仿宋"/>
          <w:color w:val="000000" w:themeColor="text1"/>
          <w:sz w:val="24"/>
          <w:szCs w:val="28"/>
        </w:rPr>
      </w:pPr>
      <w:r>
        <w:rPr>
          <w:rFonts w:hint="eastAsia" w:ascii="仿宋" w:hAnsi="仿宋" w:eastAsia="仿宋"/>
          <w:b/>
          <w:color w:val="000000" w:themeColor="text1"/>
          <w:sz w:val="24"/>
          <w:szCs w:val="28"/>
        </w:rPr>
        <w:t>六、</w:t>
      </w:r>
      <w:r>
        <w:rPr>
          <w:rFonts w:hint="eastAsia" w:ascii="仿宋" w:hAnsi="仿宋" w:eastAsia="仿宋"/>
          <w:b/>
          <w:color w:val="000000" w:themeColor="text1"/>
          <w:sz w:val="24"/>
        </w:rPr>
        <w:t>投标截止时间和开标时间</w:t>
      </w:r>
      <w:bookmarkEnd w:id="7"/>
      <w:r>
        <w:rPr>
          <w:rFonts w:hint="eastAsia" w:ascii="仿宋" w:hAnsi="仿宋" w:eastAsia="仿宋"/>
          <w:b/>
          <w:color w:val="000000" w:themeColor="text1"/>
          <w:sz w:val="24"/>
        </w:rPr>
        <w:t>：</w:t>
      </w:r>
      <w:r>
        <w:rPr>
          <w:rFonts w:hint="eastAsia" w:hAnsi="宋体"/>
          <w:b/>
          <w:bCs/>
          <w:color w:val="000000" w:themeColor="text1"/>
          <w:sz w:val="24"/>
        </w:rPr>
        <w:t>2022年 10月</w:t>
      </w:r>
      <w:r>
        <w:rPr>
          <w:rFonts w:hint="eastAsia" w:hAnsi="宋体"/>
          <w:b/>
          <w:bCs/>
          <w:sz w:val="24"/>
        </w:rPr>
        <w:t xml:space="preserve"> 31</w:t>
      </w:r>
      <w:r>
        <w:rPr>
          <w:rFonts w:hint="eastAsia" w:hAnsi="宋体"/>
          <w:b/>
          <w:bCs/>
          <w:color w:val="000000" w:themeColor="text1"/>
          <w:sz w:val="24"/>
        </w:rPr>
        <w:t>日09：00</w:t>
      </w:r>
      <w:r>
        <w:rPr>
          <w:rFonts w:hAnsi="宋体"/>
          <w:color w:val="000000" w:themeColor="text1"/>
          <w:sz w:val="24"/>
          <w:szCs w:val="28"/>
        </w:rPr>
        <w:t>（北京时间）</w:t>
      </w:r>
      <w:r>
        <w:rPr>
          <w:rFonts w:hint="eastAsia" w:ascii="仿宋" w:hAnsi="仿宋" w:eastAsia="仿宋"/>
          <w:color w:val="000000" w:themeColor="text1"/>
          <w:sz w:val="24"/>
          <w:szCs w:val="28"/>
        </w:rPr>
        <w:t>。</w:t>
      </w:r>
    </w:p>
    <w:p>
      <w:pPr>
        <w:pStyle w:val="16"/>
        <w:spacing w:afterLines="50" w:line="420" w:lineRule="exact"/>
        <w:ind w:firstLine="480"/>
        <w:rPr>
          <w:rFonts w:ascii="仿宋" w:hAnsi="仿宋" w:eastAsia="仿宋"/>
          <w:color w:val="000000" w:themeColor="text1"/>
          <w:sz w:val="24"/>
          <w:szCs w:val="28"/>
        </w:rPr>
      </w:pPr>
      <w:bookmarkStart w:id="8" w:name="PO_默认文件内容_22"/>
      <w:r>
        <w:rPr>
          <w:rFonts w:hint="eastAsia" w:ascii="仿宋" w:hAnsi="仿宋" w:eastAsia="仿宋"/>
          <w:color w:val="000000" w:themeColor="text1"/>
          <w:sz w:val="24"/>
          <w:szCs w:val="28"/>
        </w:rPr>
        <w:t>投标文件必须在投标截止时间前送达开标地点。逾期送达或密封和标注不符合招标文件规定的投标文件恕不接受。本次招标不接受邮寄的投标文件。</w:t>
      </w:r>
    </w:p>
    <w:bookmarkEnd w:id="8"/>
    <w:p>
      <w:pPr>
        <w:spacing w:after="50" w:line="420" w:lineRule="exact"/>
        <w:ind w:firstLine="482" w:firstLineChars="200"/>
        <w:rPr>
          <w:rFonts w:ascii="仿宋" w:hAnsi="仿宋" w:eastAsia="仿宋"/>
          <w:b/>
          <w:color w:val="000000" w:themeColor="text1"/>
          <w:sz w:val="24"/>
        </w:rPr>
      </w:pPr>
      <w:r>
        <w:rPr>
          <w:rFonts w:hint="eastAsia" w:ascii="仿宋" w:hAnsi="仿宋" w:eastAsia="仿宋"/>
          <w:b/>
          <w:color w:val="000000" w:themeColor="text1"/>
          <w:sz w:val="24"/>
        </w:rPr>
        <w:t>七、</w:t>
      </w:r>
      <w:r>
        <w:rPr>
          <w:rFonts w:ascii="仿宋" w:hAnsi="仿宋" w:eastAsia="仿宋"/>
          <w:b/>
          <w:color w:val="000000" w:themeColor="text1"/>
          <w:sz w:val="24"/>
        </w:rPr>
        <w:t>开标地点</w:t>
      </w:r>
      <w:r>
        <w:rPr>
          <w:rFonts w:hint="eastAsia" w:ascii="仿宋" w:hAnsi="仿宋" w:eastAsia="仿宋"/>
          <w:b/>
          <w:color w:val="000000" w:themeColor="text1"/>
          <w:sz w:val="24"/>
        </w:rPr>
        <w:t>:重庆交通职业学院。</w:t>
      </w:r>
    </w:p>
    <w:p>
      <w:pPr>
        <w:pStyle w:val="64"/>
        <w:spacing w:line="420" w:lineRule="exact"/>
        <w:ind w:firstLine="482"/>
        <w:rPr>
          <w:rFonts w:ascii="仿宋" w:hAnsi="仿宋" w:eastAsia="仿宋"/>
          <w:b/>
          <w:color w:val="000000" w:themeColor="text1"/>
          <w:sz w:val="24"/>
          <w:szCs w:val="28"/>
        </w:rPr>
      </w:pPr>
      <w:bookmarkStart w:id="9" w:name="PO_默认文件内容_46"/>
      <w:r>
        <w:rPr>
          <w:rFonts w:hint="eastAsia" w:ascii="仿宋" w:hAnsi="仿宋" w:eastAsia="仿宋"/>
          <w:b/>
          <w:color w:val="000000" w:themeColor="text1"/>
          <w:sz w:val="24"/>
        </w:rPr>
        <w:t>八、本投标邀请在重庆交通职业学院官网以公告形式发布</w:t>
      </w:r>
      <w:bookmarkEnd w:id="9"/>
    </w:p>
    <w:p>
      <w:pPr>
        <w:pStyle w:val="64"/>
        <w:spacing w:line="420" w:lineRule="exact"/>
        <w:ind w:firstLine="482"/>
        <w:rPr>
          <w:rFonts w:ascii="仿宋" w:hAnsi="仿宋" w:eastAsia="仿宋"/>
          <w:b/>
          <w:color w:val="000000" w:themeColor="text1"/>
          <w:sz w:val="24"/>
        </w:rPr>
      </w:pPr>
    </w:p>
    <w:p>
      <w:pPr>
        <w:pStyle w:val="64"/>
        <w:spacing w:line="420" w:lineRule="exact"/>
        <w:ind w:firstLine="482"/>
        <w:rPr>
          <w:rFonts w:ascii="仿宋" w:hAnsi="仿宋" w:eastAsia="仿宋"/>
          <w:b/>
          <w:color w:val="000000" w:themeColor="text1"/>
          <w:sz w:val="24"/>
        </w:rPr>
      </w:pPr>
      <w:r>
        <w:rPr>
          <w:rFonts w:hint="eastAsia" w:ascii="仿宋" w:hAnsi="仿宋" w:eastAsia="仿宋"/>
          <w:b/>
          <w:color w:val="000000" w:themeColor="text1"/>
          <w:sz w:val="24"/>
        </w:rPr>
        <w:t>九、联系方式</w:t>
      </w:r>
    </w:p>
    <w:p>
      <w:pPr>
        <w:tabs>
          <w:tab w:val="left" w:pos="2310"/>
        </w:tabs>
        <w:spacing w:line="360" w:lineRule="auto"/>
        <w:ind w:right="680" w:rightChars="200" w:firstLine="1200" w:firstLineChars="500"/>
        <w:rPr>
          <w:rFonts w:hAnsi="宋体" w:cs="宋体"/>
          <w:color w:val="000000" w:themeColor="text1"/>
          <w:sz w:val="24"/>
        </w:rPr>
      </w:pPr>
      <w:r>
        <w:rPr>
          <w:rFonts w:hint="eastAsia" w:hAnsi="宋体" w:cs="宋体"/>
          <w:color w:val="000000" w:themeColor="text1"/>
          <w:sz w:val="24"/>
        </w:rPr>
        <w:t>招标人：重庆交通职业学院</w:t>
      </w:r>
    </w:p>
    <w:p>
      <w:pPr>
        <w:tabs>
          <w:tab w:val="left" w:pos="1045"/>
          <w:tab w:val="left" w:pos="1105"/>
          <w:tab w:val="left" w:pos="2310"/>
        </w:tabs>
        <w:spacing w:line="360" w:lineRule="auto"/>
        <w:ind w:right="680" w:rightChars="200"/>
        <w:rPr>
          <w:rFonts w:hAnsi="宋体" w:cs="宋体"/>
          <w:sz w:val="24"/>
        </w:rPr>
      </w:pPr>
      <w:r>
        <w:rPr>
          <w:rFonts w:hint="eastAsia" w:hAnsi="宋体" w:cs="宋体"/>
          <w:color w:val="FF0000"/>
          <w:sz w:val="24"/>
        </w:rPr>
        <w:tab/>
      </w:r>
      <w:r>
        <w:rPr>
          <w:rFonts w:hint="eastAsia" w:hAnsi="宋体" w:cs="宋体"/>
          <w:color w:val="FF0000"/>
          <w:sz w:val="24"/>
        </w:rPr>
        <w:t xml:space="preserve"> </w:t>
      </w:r>
      <w:r>
        <w:rPr>
          <w:rFonts w:hint="eastAsia" w:hAnsi="宋体" w:cs="宋体"/>
          <w:sz w:val="24"/>
        </w:rPr>
        <w:t>联系人：程鹏</w:t>
      </w:r>
    </w:p>
    <w:p>
      <w:pPr>
        <w:tabs>
          <w:tab w:val="left" w:pos="2310"/>
        </w:tabs>
        <w:spacing w:line="360" w:lineRule="auto"/>
        <w:ind w:right="680" w:rightChars="200" w:firstLine="1200" w:firstLineChars="500"/>
        <w:rPr>
          <w:rFonts w:cs="宋体"/>
          <w:sz w:val="24"/>
        </w:rPr>
      </w:pPr>
      <w:r>
        <w:rPr>
          <w:rFonts w:hint="eastAsia" w:hAnsi="宋体" w:cs="宋体"/>
          <w:sz w:val="24"/>
        </w:rPr>
        <w:t>电话：</w:t>
      </w:r>
      <w:r>
        <w:rPr>
          <w:rFonts w:hint="eastAsia" w:cs="宋体"/>
          <w:sz w:val="24"/>
        </w:rPr>
        <w:t>19923710005</w:t>
      </w:r>
    </w:p>
    <w:p>
      <w:pPr>
        <w:tabs>
          <w:tab w:val="left" w:pos="2310"/>
        </w:tabs>
        <w:spacing w:line="360" w:lineRule="auto"/>
        <w:ind w:right="680" w:rightChars="200" w:firstLine="1200" w:firstLineChars="500"/>
        <w:rPr>
          <w:rFonts w:asciiTheme="minorEastAsia" w:hAnsiTheme="minorEastAsia" w:eastAsiaTheme="minorEastAsia"/>
          <w:color w:val="000000" w:themeColor="text1"/>
          <w:sz w:val="24"/>
        </w:rPr>
      </w:pPr>
      <w:r>
        <w:rPr>
          <w:rFonts w:hint="eastAsia" w:hAnsi="宋体" w:cs="宋体"/>
          <w:color w:val="000000" w:themeColor="text1"/>
          <w:sz w:val="24"/>
        </w:rPr>
        <w:t>联系地址：</w:t>
      </w:r>
      <w:r>
        <w:rPr>
          <w:rFonts w:hint="eastAsia" w:asciiTheme="minorEastAsia" w:hAnsiTheme="minorEastAsia" w:eastAsiaTheme="minorEastAsia"/>
          <w:color w:val="000000" w:themeColor="text1"/>
          <w:sz w:val="24"/>
        </w:rPr>
        <w:t>重庆市江津区双福新区学府大道555号</w:t>
      </w:r>
    </w:p>
    <w:p>
      <w:pPr>
        <w:tabs>
          <w:tab w:val="left" w:pos="2310"/>
        </w:tabs>
        <w:spacing w:line="360" w:lineRule="auto"/>
        <w:ind w:right="680" w:rightChars="200" w:firstLine="1200" w:firstLineChars="500"/>
        <w:rPr>
          <w:rFonts w:hAnsi="宋体" w:cs="宋体"/>
          <w:color w:val="000000" w:themeColor="text1"/>
          <w:sz w:val="24"/>
        </w:rPr>
      </w:pPr>
      <w:r>
        <w:rPr>
          <w:rFonts w:hint="eastAsia" w:hAnsi="宋体" w:cs="宋体"/>
          <w:color w:val="000000" w:themeColor="text1"/>
          <w:sz w:val="24"/>
        </w:rPr>
        <w:t>邮编：</w:t>
      </w:r>
      <w:bookmarkStart w:id="10" w:name="_Toc217446031"/>
      <w:bookmarkStart w:id="11" w:name="_Toc213396759"/>
      <w:bookmarkStart w:id="12" w:name="_Toc213397009"/>
      <w:bookmarkStart w:id="13" w:name="_Toc213496267"/>
      <w:bookmarkStart w:id="14" w:name="_Toc213396945"/>
      <w:bookmarkStart w:id="15" w:name="_Toc183682339"/>
      <w:bookmarkStart w:id="16" w:name="_Toc89075871"/>
      <w:bookmarkStart w:id="17" w:name="_Toc77400776"/>
      <w:bookmarkStart w:id="18" w:name="_Toc183582202"/>
      <w:r>
        <w:rPr>
          <w:rFonts w:hint="eastAsia" w:hAnsi="宋体" w:cs="宋体"/>
          <w:color w:val="000000" w:themeColor="text1"/>
          <w:sz w:val="24"/>
        </w:rPr>
        <w:t>402247</w:t>
      </w:r>
    </w:p>
    <w:p>
      <w:pPr>
        <w:pStyle w:val="2"/>
        <w:spacing w:line="240" w:lineRule="atLeast"/>
        <w:jc w:val="center"/>
        <w:rPr>
          <w:rFonts w:ascii="仿宋" w:hAnsi="仿宋" w:eastAsia="仿宋"/>
          <w:bCs w:val="0"/>
          <w:color w:val="000000" w:themeColor="text1"/>
          <w:sz w:val="36"/>
        </w:rPr>
      </w:pPr>
      <w:bookmarkStart w:id="19" w:name="_Toc50"/>
      <w:r>
        <w:rPr>
          <w:rFonts w:hint="eastAsia" w:ascii="仿宋" w:hAnsi="仿宋" w:eastAsia="仿宋"/>
          <w:bCs w:val="0"/>
          <w:color w:val="000000" w:themeColor="text1"/>
          <w:sz w:val="36"/>
        </w:rPr>
        <w:t>第二章  投标人须知</w:t>
      </w:r>
      <w:bookmarkEnd w:id="10"/>
      <w:bookmarkEnd w:id="11"/>
      <w:bookmarkEnd w:id="12"/>
      <w:bookmarkEnd w:id="13"/>
      <w:bookmarkEnd w:id="14"/>
      <w:bookmarkEnd w:id="19"/>
      <w:bookmarkStart w:id="20" w:name="_Toc184283909"/>
      <w:bookmarkStart w:id="21" w:name="_Toc184274915"/>
    </w:p>
    <w:p>
      <w:pPr>
        <w:pStyle w:val="3"/>
        <w:spacing w:line="240" w:lineRule="atLeast"/>
        <w:jc w:val="center"/>
        <w:rPr>
          <w:rFonts w:ascii="仿宋" w:hAnsi="仿宋" w:eastAsia="仿宋"/>
          <w:color w:val="000000" w:themeColor="text1"/>
        </w:rPr>
      </w:pPr>
      <w:bookmarkStart w:id="22" w:name="_Toc213396946"/>
      <w:bookmarkStart w:id="23" w:name="_Toc213397010"/>
      <w:bookmarkStart w:id="24" w:name="_Toc217446032"/>
      <w:bookmarkStart w:id="25" w:name="_Toc213496268"/>
      <w:bookmarkStart w:id="26" w:name="_Toc213396760"/>
      <w:bookmarkStart w:id="27" w:name="_Toc189727030"/>
      <w:r>
        <w:rPr>
          <w:rFonts w:hint="eastAsia" w:ascii="仿宋" w:hAnsi="仿宋" w:eastAsia="仿宋"/>
          <w:color w:val="000000" w:themeColor="text1"/>
        </w:rPr>
        <w:t>投标人须知前附表</w:t>
      </w:r>
      <w:bookmarkEnd w:id="20"/>
      <w:bookmarkEnd w:id="21"/>
      <w:bookmarkEnd w:id="22"/>
      <w:bookmarkEnd w:id="23"/>
      <w:bookmarkEnd w:id="24"/>
      <w:bookmarkEnd w:id="25"/>
      <w:bookmarkEnd w:id="26"/>
      <w:bookmarkEnd w:id="27"/>
    </w:p>
    <w:tbl>
      <w:tblPr>
        <w:tblStyle w:val="31"/>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053"/>
        <w:gridCol w:w="643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76"/>
              <w:ind w:left="9"/>
              <w:jc w:val="center"/>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序号</w:t>
            </w:r>
          </w:p>
        </w:tc>
        <w:tc>
          <w:tcPr>
            <w:tcW w:w="2053" w:type="dxa"/>
            <w:vAlign w:val="center"/>
          </w:tcPr>
          <w:p>
            <w:pPr>
              <w:pStyle w:val="76"/>
              <w:ind w:left="38"/>
              <w:jc w:val="center"/>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条款名称</w:t>
            </w:r>
          </w:p>
        </w:tc>
        <w:tc>
          <w:tcPr>
            <w:tcW w:w="6436" w:type="dxa"/>
            <w:vAlign w:val="center"/>
          </w:tcPr>
          <w:p>
            <w:pPr>
              <w:pStyle w:val="76"/>
              <w:jc w:val="center"/>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5" w:hRule="atLeas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招标人</w:t>
            </w:r>
          </w:p>
        </w:tc>
        <w:tc>
          <w:tcPr>
            <w:tcW w:w="6436" w:type="dxa"/>
            <w:vAlign w:val="center"/>
          </w:tcPr>
          <w:p>
            <w:pPr>
              <w:pStyle w:val="76"/>
              <w:spacing w:line="360" w:lineRule="auto"/>
              <w:ind w:left="767" w:leftChars="102" w:hanging="420" w:hangingChars="200"/>
              <w:rPr>
                <w:rFonts w:cs="Times New Roman"/>
                <w:color w:val="000000" w:themeColor="text1"/>
                <w:sz w:val="21"/>
                <w:szCs w:val="21"/>
                <w:lang w:val="zh-CN"/>
              </w:rPr>
            </w:pPr>
            <w:r>
              <w:rPr>
                <w:rFonts w:hint="eastAsia"/>
                <w:color w:val="000000" w:themeColor="text1"/>
                <w:sz w:val="21"/>
                <w:szCs w:val="21"/>
                <w:lang w:val="zh-CN"/>
              </w:rPr>
              <w:t>名称</w:t>
            </w:r>
            <w:r>
              <w:rPr>
                <w:color w:val="000000" w:themeColor="text1"/>
                <w:sz w:val="21"/>
                <w:szCs w:val="21"/>
                <w:lang w:val="zh-CN"/>
              </w:rPr>
              <w:t>:</w:t>
            </w:r>
            <w:r>
              <w:rPr>
                <w:rFonts w:hint="eastAsia"/>
                <w:color w:val="000000" w:themeColor="text1"/>
                <w:sz w:val="21"/>
                <w:szCs w:val="21"/>
                <w:lang w:val="zh-CN"/>
              </w:rPr>
              <w:t>重庆交通职业学院</w:t>
            </w:r>
          </w:p>
          <w:p>
            <w:pPr>
              <w:pStyle w:val="76"/>
              <w:spacing w:line="360" w:lineRule="auto"/>
              <w:ind w:left="767" w:leftChars="102" w:hanging="420" w:hangingChars="200"/>
              <w:rPr>
                <w:rFonts w:cs="Times New Roman"/>
                <w:sz w:val="21"/>
                <w:szCs w:val="21"/>
              </w:rPr>
            </w:pPr>
            <w:r>
              <w:rPr>
                <w:rFonts w:hint="eastAsia"/>
                <w:sz w:val="21"/>
                <w:szCs w:val="21"/>
                <w:lang w:val="zh-CN"/>
              </w:rPr>
              <w:t>联系人：</w:t>
            </w:r>
            <w:r>
              <w:rPr>
                <w:rFonts w:hint="eastAsia"/>
              </w:rPr>
              <w:t>程鹏</w:t>
            </w:r>
          </w:p>
          <w:p>
            <w:pPr>
              <w:pStyle w:val="76"/>
              <w:spacing w:line="360" w:lineRule="auto"/>
              <w:ind w:left="767" w:leftChars="102" w:hanging="420" w:hangingChars="200"/>
              <w:rPr>
                <w:rFonts w:ascii="仿宋" w:hAnsi="仿宋"/>
                <w:color w:val="000000" w:themeColor="text1"/>
                <w:sz w:val="21"/>
                <w:szCs w:val="21"/>
              </w:rPr>
            </w:pPr>
            <w:r>
              <w:rPr>
                <w:rFonts w:hint="eastAsia"/>
                <w:sz w:val="21"/>
                <w:szCs w:val="21"/>
                <w:lang w:val="zh-CN"/>
              </w:rPr>
              <w:t>电话：</w:t>
            </w:r>
            <w:r>
              <w:rPr>
                <w:rFonts w:hint="eastAsia"/>
              </w:rPr>
              <w:t>19923710005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8"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招标项目名称</w:t>
            </w:r>
          </w:p>
        </w:tc>
        <w:tc>
          <w:tcPr>
            <w:tcW w:w="6436" w:type="dxa"/>
            <w:vAlign w:val="center"/>
          </w:tcPr>
          <w:p>
            <w:pPr>
              <w:ind w:firstLine="241" w:firstLineChars="100"/>
              <w:rPr>
                <w:rFonts w:ascii="仿宋" w:hAnsi="仿宋" w:eastAsia="仿宋" w:cs="宋体"/>
                <w:b/>
                <w:color w:val="000000" w:themeColor="text1"/>
                <w:sz w:val="21"/>
                <w:szCs w:val="21"/>
              </w:rPr>
            </w:pPr>
            <w:r>
              <w:rPr>
                <w:rFonts w:hint="eastAsia" w:ascii="仿宋" w:hAnsi="仿宋" w:eastAsia="仿宋"/>
                <w:b/>
                <w:color w:val="000000" w:themeColor="text1"/>
                <w:sz w:val="24"/>
                <w:szCs w:val="28"/>
                <w:lang w:val="en-US" w:eastAsia="zh-CN"/>
              </w:rPr>
              <w:t>自动驾驶</w:t>
            </w:r>
            <w:r>
              <w:rPr>
                <w:rFonts w:ascii="仿宋" w:hAnsi="仿宋" w:eastAsia="仿宋"/>
                <w:b/>
                <w:color w:val="000000" w:themeColor="text1"/>
                <w:sz w:val="24"/>
                <w:szCs w:val="28"/>
              </w:rPr>
              <w:t>技术服务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招标编号</w:t>
            </w:r>
          </w:p>
        </w:tc>
        <w:tc>
          <w:tcPr>
            <w:tcW w:w="6436" w:type="dxa"/>
            <w:vAlign w:val="center"/>
          </w:tcPr>
          <w:p>
            <w:pPr>
              <w:ind w:firstLine="105" w:firstLineChars="50"/>
              <w:rPr>
                <w:rFonts w:ascii="仿宋" w:hAnsi="仿宋" w:eastAsia="仿宋" w:cs="宋体"/>
                <w:b/>
                <w:color w:val="000000" w:themeColor="text1"/>
                <w:sz w:val="21"/>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最高限价</w:t>
            </w:r>
          </w:p>
        </w:tc>
        <w:tc>
          <w:tcPr>
            <w:tcW w:w="6436" w:type="dxa"/>
            <w:vAlign w:val="center"/>
          </w:tcPr>
          <w:p>
            <w:pPr>
              <w:pStyle w:val="76"/>
              <w:ind w:firstLine="210" w:firstLineChars="100"/>
              <w:jc w:val="both"/>
              <w:rPr>
                <w:rFonts w:ascii="仿宋" w:hAnsi="仿宋" w:eastAsia="仿宋"/>
                <w:color w:val="000000" w:themeColor="text1"/>
                <w:sz w:val="21"/>
                <w:szCs w:val="21"/>
              </w:rPr>
            </w:pPr>
            <w:bookmarkStart w:id="28" w:name="PO_默认文件内容_4"/>
            <w:r>
              <w:rPr>
                <w:rFonts w:hint="eastAsia" w:ascii="仿宋" w:hAnsi="仿宋" w:eastAsia="仿宋"/>
                <w:color w:val="000000" w:themeColor="text1"/>
                <w:sz w:val="21"/>
                <w:szCs w:val="21"/>
              </w:rPr>
              <w:t>不公布</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招标方式</w:t>
            </w:r>
          </w:p>
        </w:tc>
        <w:tc>
          <w:tcPr>
            <w:tcW w:w="6436" w:type="dxa"/>
            <w:vAlign w:val="center"/>
          </w:tcPr>
          <w:p>
            <w:pPr>
              <w:pStyle w:val="76"/>
              <w:jc w:val="both"/>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 xml:space="preserve">  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评标方法</w:t>
            </w:r>
          </w:p>
        </w:tc>
        <w:tc>
          <w:tcPr>
            <w:tcW w:w="6436" w:type="dxa"/>
            <w:vAlign w:val="center"/>
          </w:tcPr>
          <w:p>
            <w:pPr>
              <w:pStyle w:val="76"/>
              <w:ind w:left="767" w:leftChars="102" w:hanging="420" w:hangingChars="20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交付时间、地点</w:t>
            </w:r>
          </w:p>
        </w:tc>
        <w:tc>
          <w:tcPr>
            <w:tcW w:w="6436" w:type="dxa"/>
            <w:vAlign w:val="center"/>
          </w:tcPr>
          <w:p>
            <w:pPr>
              <w:pStyle w:val="76"/>
              <w:spacing w:line="360" w:lineRule="auto"/>
              <w:ind w:left="767" w:leftChars="102" w:hanging="420" w:hangingChars="200"/>
              <w:rPr>
                <w:rFonts w:ascii="仿宋" w:hAnsi="仿宋" w:eastAsia="仿宋"/>
                <w:color w:val="000000" w:themeColor="text1"/>
                <w:sz w:val="21"/>
                <w:szCs w:val="21"/>
                <w:lang w:val="zh-CN"/>
              </w:rPr>
            </w:pPr>
            <w:bookmarkStart w:id="29" w:name="PO_默认文件内容_23"/>
            <w:r>
              <w:rPr>
                <w:rFonts w:hint="eastAsia" w:ascii="仿宋" w:hAnsi="仿宋" w:eastAsia="仿宋"/>
                <w:color w:val="000000" w:themeColor="text1"/>
                <w:sz w:val="21"/>
                <w:szCs w:val="21"/>
                <w:lang w:val="zh-CN"/>
              </w:rPr>
              <w:t>详见招标文件要求。</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质量要求、验收标准</w:t>
            </w:r>
          </w:p>
        </w:tc>
        <w:tc>
          <w:tcPr>
            <w:tcW w:w="6436" w:type="dxa"/>
            <w:vAlign w:val="center"/>
          </w:tcPr>
          <w:p>
            <w:pPr>
              <w:pStyle w:val="76"/>
              <w:spacing w:line="360" w:lineRule="auto"/>
              <w:ind w:firstLine="210" w:firstLineChars="100"/>
              <w:jc w:val="both"/>
              <w:rPr>
                <w:rFonts w:ascii="仿宋" w:hAnsi="仿宋" w:eastAsia="仿宋"/>
                <w:color w:val="000000" w:themeColor="text1"/>
                <w:sz w:val="21"/>
                <w:szCs w:val="21"/>
              </w:rPr>
            </w:pPr>
            <w:bookmarkStart w:id="30" w:name="PO_默认文件内容_24"/>
            <w:r>
              <w:rPr>
                <w:rFonts w:hint="eastAsia" w:ascii="仿宋" w:hAnsi="仿宋" w:eastAsia="仿宋"/>
                <w:color w:val="000000" w:themeColor="text1"/>
                <w:sz w:val="21"/>
                <w:szCs w:val="21"/>
                <w:lang w:val="zh-CN"/>
              </w:rPr>
              <w:t>质量要求：按招标文件要求</w:t>
            </w:r>
            <w:r>
              <w:rPr>
                <w:rFonts w:hint="eastAsia" w:ascii="仿宋" w:hAnsi="仿宋" w:eastAsia="仿宋"/>
                <w:color w:val="000000" w:themeColor="text1"/>
                <w:sz w:val="21"/>
                <w:szCs w:val="21"/>
              </w:rPr>
              <w:t>。</w:t>
            </w:r>
          </w:p>
          <w:p>
            <w:pPr>
              <w:pStyle w:val="76"/>
              <w:spacing w:line="360" w:lineRule="auto"/>
              <w:ind w:firstLine="210" w:firstLineChars="100"/>
              <w:jc w:val="both"/>
              <w:rPr>
                <w:rFonts w:ascii="仿宋" w:hAnsi="仿宋" w:eastAsia="仿宋"/>
                <w:color w:val="000000" w:themeColor="text1"/>
                <w:sz w:val="21"/>
                <w:szCs w:val="21"/>
              </w:rPr>
            </w:pPr>
            <w:r>
              <w:rPr>
                <w:rFonts w:hint="eastAsia" w:ascii="仿宋" w:hAnsi="仿宋" w:eastAsia="仿宋"/>
                <w:color w:val="000000" w:themeColor="text1"/>
                <w:sz w:val="21"/>
                <w:szCs w:val="21"/>
              </w:rPr>
              <w:t>验收标准：</w:t>
            </w:r>
            <w:r>
              <w:rPr>
                <w:rFonts w:hint="eastAsia" w:ascii="仿宋" w:hAnsi="仿宋" w:eastAsia="仿宋"/>
                <w:color w:val="000000" w:themeColor="text1"/>
                <w:sz w:val="21"/>
                <w:szCs w:val="21"/>
                <w:lang w:val="zh-CN"/>
              </w:rPr>
              <w:t>按招标文件要求</w:t>
            </w:r>
            <w:r>
              <w:rPr>
                <w:rFonts w:hint="eastAsia" w:ascii="仿宋" w:hAnsi="仿宋" w:eastAsia="仿宋"/>
                <w:color w:val="000000" w:themeColor="text1"/>
                <w:sz w:val="21"/>
                <w:szCs w:val="21"/>
              </w:rPr>
              <w:t>进行验收。</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联合体投标</w:t>
            </w:r>
          </w:p>
        </w:tc>
        <w:tc>
          <w:tcPr>
            <w:tcW w:w="6436" w:type="dxa"/>
            <w:vAlign w:val="center"/>
          </w:tcPr>
          <w:p>
            <w:pPr>
              <w:pStyle w:val="76"/>
              <w:ind w:left="340" w:leftChars="100"/>
              <w:rPr>
                <w:rFonts w:ascii="仿宋" w:hAnsi="仿宋" w:eastAsia="仿宋"/>
                <w:color w:val="000000" w:themeColor="text1"/>
                <w:sz w:val="21"/>
                <w:szCs w:val="21"/>
                <w:lang w:val="zh-CN"/>
              </w:rPr>
            </w:pPr>
            <w:bookmarkStart w:id="31" w:name="PO_默认文件内容_25"/>
            <w:r>
              <w:rPr>
                <w:rFonts w:hint="eastAsia" w:ascii="仿宋" w:hAnsi="仿宋" w:eastAsia="仿宋"/>
                <w:color w:val="000000" w:themeColor="text1"/>
                <w:sz w:val="21"/>
                <w:szCs w:val="21"/>
              </w:rPr>
              <w:t>本次招标不接受联合体投标。</w:t>
            </w:r>
            <w:bookmarkEnd w:id="3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考察现场、标前答疑会</w:t>
            </w:r>
          </w:p>
        </w:tc>
        <w:tc>
          <w:tcPr>
            <w:tcW w:w="6436" w:type="dxa"/>
            <w:vAlign w:val="center"/>
          </w:tcPr>
          <w:p>
            <w:pPr>
              <w:pStyle w:val="76"/>
              <w:ind w:firstLine="210" w:firstLineChars="100"/>
              <w:rPr>
                <w:rFonts w:ascii="仿宋" w:hAnsi="仿宋" w:eastAsia="仿宋"/>
                <w:color w:val="000000" w:themeColor="text1"/>
                <w:sz w:val="21"/>
                <w:szCs w:val="21"/>
                <w:lang w:val="zh-CN"/>
              </w:rPr>
            </w:pPr>
            <w:bookmarkStart w:id="32" w:name="PO_默认文件内容_26"/>
            <w:r>
              <w:rPr>
                <w:rFonts w:hint="eastAsia" w:ascii="仿宋" w:hAnsi="仿宋" w:eastAsia="仿宋"/>
                <w:color w:val="000000" w:themeColor="text1"/>
                <w:sz w:val="21"/>
                <w:szCs w:val="21"/>
                <w:lang w:val="zh-CN"/>
              </w:rPr>
              <w:t>招标采购单位认为有必要，另行书面通知。</w:t>
            </w:r>
            <w:bookmarkEnd w:id="3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投标人对招标文件提出异议的时间</w:t>
            </w:r>
          </w:p>
        </w:tc>
        <w:tc>
          <w:tcPr>
            <w:tcW w:w="6436" w:type="dxa"/>
            <w:vAlign w:val="center"/>
          </w:tcPr>
          <w:p>
            <w:pPr>
              <w:pStyle w:val="76"/>
              <w:ind w:firstLine="210" w:firstLineChars="100"/>
              <w:rPr>
                <w:rFonts w:ascii="仿宋" w:hAnsi="仿宋" w:eastAsia="仿宋"/>
                <w:color w:val="000000" w:themeColor="text1"/>
                <w:sz w:val="21"/>
                <w:szCs w:val="21"/>
                <w:lang w:val="zh-CN"/>
              </w:rPr>
            </w:pPr>
            <w:bookmarkStart w:id="33" w:name="PO_默认文件内容_27"/>
            <w:r>
              <w:rPr>
                <w:rFonts w:hint="eastAsia" w:ascii="仿宋" w:hAnsi="仿宋" w:eastAsia="仿宋"/>
                <w:color w:val="000000" w:themeColor="text1"/>
                <w:sz w:val="21"/>
                <w:szCs w:val="21"/>
                <w:lang w:val="zh-CN"/>
              </w:rPr>
              <w:t>在投标截止时间3 日前提出。</w:t>
            </w:r>
            <w:bookmarkEnd w:id="3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分包履约</w:t>
            </w:r>
          </w:p>
        </w:tc>
        <w:tc>
          <w:tcPr>
            <w:tcW w:w="6436" w:type="dxa"/>
            <w:vAlign w:val="center"/>
          </w:tcPr>
          <w:p>
            <w:pPr>
              <w:pStyle w:val="76"/>
              <w:rPr>
                <w:rFonts w:ascii="仿宋" w:hAnsi="仿宋" w:eastAsia="仿宋"/>
                <w:color w:val="000000" w:themeColor="text1"/>
                <w:sz w:val="21"/>
                <w:szCs w:val="21"/>
              </w:rPr>
            </w:pPr>
            <w:bookmarkStart w:id="34" w:name="PO_默认文件内容_28"/>
            <w:r>
              <w:rPr>
                <w:rFonts w:hint="eastAsia" w:ascii="仿宋" w:hAnsi="仿宋" w:eastAsia="仿宋"/>
                <w:color w:val="000000" w:themeColor="text1"/>
                <w:sz w:val="21"/>
                <w:szCs w:val="21"/>
                <w:lang w:val="zh-CN"/>
              </w:rPr>
              <w:t>中标供应商</w:t>
            </w:r>
            <w:r>
              <w:rPr>
                <w:rFonts w:hint="eastAsia" w:ascii="仿宋" w:hAnsi="仿宋" w:eastAsia="仿宋"/>
                <w:color w:val="000000" w:themeColor="text1"/>
                <w:sz w:val="21"/>
                <w:szCs w:val="21"/>
              </w:rPr>
              <w:t>在合同签订之前必须征得招标人同意（详见投标人须知第28条）。</w:t>
            </w:r>
            <w:bookmarkEnd w:id="3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1012" w:type="dxa"/>
            <w:vAlign w:val="center"/>
          </w:tcPr>
          <w:p>
            <w:pPr>
              <w:pStyle w:val="76"/>
              <w:numPr>
                <w:ilvl w:val="0"/>
                <w:numId w:val="3"/>
              </w:numPr>
              <w:ind w:right="230"/>
              <w:jc w:val="center"/>
              <w:rPr>
                <w:rFonts w:ascii="仿宋" w:hAnsi="仿宋" w:eastAsia="仿宋"/>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构成招标文件的其他文件</w:t>
            </w:r>
          </w:p>
        </w:tc>
        <w:tc>
          <w:tcPr>
            <w:tcW w:w="6436" w:type="dxa"/>
            <w:vAlign w:val="center"/>
          </w:tcPr>
          <w:p>
            <w:pPr>
              <w:pStyle w:val="76"/>
              <w:ind w:left="210" w:hanging="210" w:hangingChars="100"/>
              <w:rPr>
                <w:rFonts w:ascii="仿宋" w:hAnsi="仿宋" w:eastAsia="仿宋"/>
                <w:color w:val="000000" w:themeColor="text1"/>
                <w:sz w:val="21"/>
                <w:szCs w:val="21"/>
                <w:lang w:val="zh-CN"/>
              </w:rPr>
            </w:pPr>
            <w:bookmarkStart w:id="35" w:name="PO_默认文件内容_29"/>
            <w:r>
              <w:rPr>
                <w:rFonts w:hint="eastAsia" w:ascii="仿宋" w:hAnsi="仿宋" w:eastAsia="仿宋"/>
                <w:color w:val="000000" w:themeColor="text1"/>
                <w:sz w:val="21"/>
                <w:szCs w:val="21"/>
                <w:lang w:val="zh-CN"/>
              </w:rPr>
              <w:t>招标文件的澄清</w:t>
            </w:r>
            <w:r>
              <w:rPr>
                <w:rFonts w:hint="eastAsia" w:ascii="仿宋" w:hAnsi="仿宋" w:eastAsia="仿宋"/>
                <w:color w:val="000000" w:themeColor="text1"/>
                <w:sz w:val="21"/>
                <w:szCs w:val="21"/>
              </w:rPr>
              <w:t>、修改书及有关补充通知为招标文件的有效组成部分。</w:t>
            </w:r>
            <w:bookmarkEnd w:id="3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投标截止时间</w:t>
            </w:r>
          </w:p>
        </w:tc>
        <w:tc>
          <w:tcPr>
            <w:tcW w:w="6436" w:type="dxa"/>
            <w:vAlign w:val="center"/>
          </w:tcPr>
          <w:p>
            <w:pPr>
              <w:pStyle w:val="76"/>
              <w:ind w:firstLine="210" w:firstLineChars="100"/>
              <w:jc w:val="both"/>
              <w:rPr>
                <w:rFonts w:ascii="仿宋" w:hAnsi="仿宋" w:eastAsia="仿宋"/>
                <w:color w:val="000000" w:themeColor="text1"/>
                <w:sz w:val="21"/>
                <w:szCs w:val="21"/>
                <w:lang w:val="zh-CN"/>
              </w:rPr>
            </w:pPr>
            <w:bookmarkStart w:id="36" w:name="PO_默认文件内容_30"/>
            <w:r>
              <w:rPr>
                <w:rFonts w:hint="eastAsia" w:ascii="仿宋" w:hAnsi="仿宋" w:eastAsia="仿宋"/>
                <w:color w:val="000000" w:themeColor="text1"/>
                <w:sz w:val="21"/>
                <w:szCs w:val="21"/>
              </w:rPr>
              <w:t>同第一章</w:t>
            </w:r>
            <w:bookmarkEnd w:id="3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投标有效期</w:t>
            </w:r>
          </w:p>
        </w:tc>
        <w:tc>
          <w:tcPr>
            <w:tcW w:w="6436" w:type="dxa"/>
            <w:vAlign w:val="center"/>
          </w:tcPr>
          <w:p>
            <w:pPr>
              <w:pStyle w:val="76"/>
              <w:ind w:firstLine="210" w:firstLineChars="100"/>
              <w:jc w:val="both"/>
              <w:rPr>
                <w:rFonts w:ascii="仿宋" w:hAnsi="仿宋" w:eastAsia="仿宋"/>
                <w:color w:val="000000" w:themeColor="text1"/>
                <w:sz w:val="21"/>
                <w:szCs w:val="21"/>
                <w:lang w:val="zh-CN"/>
              </w:rPr>
            </w:pPr>
            <w:bookmarkStart w:id="37" w:name="PO_默认文件内容_31"/>
            <w:r>
              <w:rPr>
                <w:rFonts w:hint="eastAsia" w:ascii="仿宋" w:hAnsi="仿宋" w:eastAsia="仿宋"/>
                <w:color w:val="000000" w:themeColor="text1"/>
                <w:sz w:val="21"/>
                <w:szCs w:val="21"/>
              </w:rPr>
              <w:t>开标后90天。</w:t>
            </w:r>
            <w:bookmarkEnd w:id="37"/>
          </w:p>
        </w:tc>
      </w:tr>
      <w:bookmarkEnd w:id="15"/>
      <w:bookmarkEnd w:id="16"/>
      <w:bookmarkEnd w:id="17"/>
      <w:bookmarkEnd w:id="18"/>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1012" w:type="dxa"/>
            <w:vAlign w:val="center"/>
          </w:tcPr>
          <w:p>
            <w:pPr>
              <w:pStyle w:val="76"/>
              <w:numPr>
                <w:ilvl w:val="0"/>
                <w:numId w:val="3"/>
              </w:numPr>
              <w:ind w:right="230"/>
              <w:jc w:val="center"/>
              <w:rPr>
                <w:rFonts w:ascii="仿宋" w:hAnsi="仿宋" w:eastAsia="仿宋" w:cs="Courier New"/>
                <w:color w:val="000000" w:themeColor="text1"/>
                <w:sz w:val="21"/>
                <w:szCs w:val="21"/>
                <w:lang w:val="zh-CN"/>
              </w:rPr>
            </w:pPr>
            <w:bookmarkStart w:id="38" w:name="_Toc183582204"/>
            <w:bookmarkStart w:id="39" w:name="_Toc217446033"/>
            <w:bookmarkStart w:id="40" w:name="_Toc77400778"/>
            <w:bookmarkStart w:id="41" w:name="_Toc89075873"/>
            <w:bookmarkStart w:id="42" w:name="_Toc183682341"/>
          </w:p>
        </w:tc>
        <w:tc>
          <w:tcPr>
            <w:tcW w:w="2053" w:type="dxa"/>
            <w:vAlign w:val="center"/>
          </w:tcPr>
          <w:p>
            <w:pPr>
              <w:pStyle w:val="76"/>
              <w:ind w:left="110" w:right="28"/>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备选投标方案和报价</w:t>
            </w:r>
          </w:p>
        </w:tc>
        <w:tc>
          <w:tcPr>
            <w:tcW w:w="6436" w:type="dxa"/>
            <w:vAlign w:val="center"/>
          </w:tcPr>
          <w:p>
            <w:pPr>
              <w:pStyle w:val="76"/>
              <w:ind w:firstLine="210" w:firstLineChars="100"/>
              <w:rPr>
                <w:rFonts w:ascii="仿宋" w:hAnsi="仿宋" w:eastAsia="仿宋"/>
                <w:color w:val="000000" w:themeColor="text1"/>
                <w:sz w:val="21"/>
                <w:szCs w:val="21"/>
                <w:lang w:val="zh-CN"/>
              </w:rPr>
            </w:pPr>
            <w:bookmarkStart w:id="43" w:name="PO_默认文件内容_33"/>
            <w:r>
              <w:rPr>
                <w:rFonts w:hint="eastAsia" w:ascii="仿宋" w:hAnsi="仿宋" w:eastAsia="仿宋"/>
                <w:color w:val="000000" w:themeColor="text1"/>
                <w:sz w:val="21"/>
                <w:szCs w:val="21"/>
                <w:lang w:val="zh-CN"/>
              </w:rPr>
              <w:t>不接受备选投标方案和多个报价。</w:t>
            </w:r>
            <w:bookmarkEnd w:id="4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76"/>
              <w:numPr>
                <w:ilvl w:val="0"/>
                <w:numId w:val="3"/>
              </w:numPr>
              <w:ind w:right="264"/>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签字盖章</w:t>
            </w:r>
          </w:p>
        </w:tc>
        <w:tc>
          <w:tcPr>
            <w:tcW w:w="6436" w:type="dxa"/>
            <w:vAlign w:val="center"/>
          </w:tcPr>
          <w:p>
            <w:pPr>
              <w:pStyle w:val="76"/>
              <w:rPr>
                <w:rFonts w:ascii="仿宋" w:hAnsi="仿宋" w:eastAsia="仿宋"/>
                <w:color w:val="000000" w:themeColor="text1"/>
                <w:sz w:val="21"/>
                <w:szCs w:val="21"/>
                <w:lang w:val="zh-CN"/>
              </w:rPr>
            </w:pPr>
            <w:bookmarkStart w:id="44" w:name="PO_默认文件内容_34"/>
            <w:r>
              <w:rPr>
                <w:rFonts w:hint="eastAsia" w:ascii="仿宋" w:hAnsi="仿宋" w:eastAsia="仿宋"/>
                <w:color w:val="000000" w:themeColor="text1"/>
                <w:sz w:val="21"/>
                <w:szCs w:val="21"/>
                <w:lang w:val="zh-CN"/>
              </w:rPr>
              <w:t>投标人必须按照招标文件的规定和要求签字、盖章（法人代表的签字可用具有法定效力的签字章）。</w:t>
            </w:r>
            <w:bookmarkEnd w:id="4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9" w:hRule="exact"/>
          <w:jc w:val="center"/>
        </w:trPr>
        <w:tc>
          <w:tcPr>
            <w:tcW w:w="1012" w:type="dxa"/>
            <w:vAlign w:val="center"/>
          </w:tcPr>
          <w:p>
            <w:pPr>
              <w:pStyle w:val="76"/>
              <w:numPr>
                <w:ilvl w:val="0"/>
                <w:numId w:val="3"/>
              </w:numPr>
              <w:ind w:right="264"/>
              <w:jc w:val="center"/>
              <w:rPr>
                <w:rFonts w:ascii="仿宋" w:hAnsi="仿宋" w:eastAsia="仿宋"/>
                <w:color w:val="000000" w:themeColor="text1"/>
                <w:sz w:val="21"/>
                <w:szCs w:val="21"/>
                <w:lang w:val="zh-CN"/>
              </w:rPr>
            </w:pPr>
          </w:p>
        </w:tc>
        <w:tc>
          <w:tcPr>
            <w:tcW w:w="2053" w:type="dxa"/>
            <w:vAlign w:val="center"/>
          </w:tcPr>
          <w:p>
            <w:pPr>
              <w:pStyle w:val="76"/>
              <w:ind w:left="419" w:leftChars="53" w:hanging="239" w:hangingChars="114"/>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投标文件份数</w:t>
            </w:r>
          </w:p>
        </w:tc>
        <w:tc>
          <w:tcPr>
            <w:tcW w:w="6436" w:type="dxa"/>
            <w:vAlign w:val="center"/>
          </w:tcPr>
          <w:p>
            <w:pPr>
              <w:pStyle w:val="76"/>
              <w:ind w:firstLine="210" w:firstLineChars="100"/>
              <w:rPr>
                <w:rFonts w:ascii="仿宋" w:hAnsi="仿宋" w:eastAsia="仿宋"/>
                <w:color w:val="000000" w:themeColor="text1"/>
                <w:sz w:val="21"/>
                <w:szCs w:val="21"/>
                <w:u w:val="single"/>
                <w:lang w:val="zh-CN"/>
              </w:rPr>
            </w:pPr>
            <w:r>
              <w:rPr>
                <w:rFonts w:hint="eastAsia" w:ascii="仿宋" w:hAnsi="仿宋" w:eastAsia="仿宋"/>
                <w:color w:val="000000" w:themeColor="text1"/>
                <w:sz w:val="21"/>
                <w:szCs w:val="21"/>
                <w:lang w:val="zh-CN"/>
              </w:rPr>
              <w:t>正本1份；副本</w:t>
            </w:r>
            <w:r>
              <w:rPr>
                <w:rFonts w:hint="eastAsia" w:ascii="仿宋" w:hAnsi="仿宋" w:eastAsia="仿宋"/>
                <w:color w:val="000000" w:themeColor="text1"/>
                <w:sz w:val="21"/>
                <w:szCs w:val="21"/>
              </w:rPr>
              <w:t>1</w:t>
            </w:r>
            <w:r>
              <w:rPr>
                <w:rFonts w:hint="eastAsia" w:ascii="仿宋" w:hAnsi="仿宋" w:eastAsia="仿宋"/>
                <w:color w:val="000000" w:themeColor="text1"/>
                <w:sz w:val="21"/>
                <w:szCs w:val="21"/>
                <w:lang w:val="zh-CN"/>
              </w:rPr>
              <w:t>份</w:t>
            </w:r>
            <w:r>
              <w:rPr>
                <w:rFonts w:hint="eastAsia" w:ascii="仿宋" w:hAnsi="仿宋" w:eastAsia="仿宋"/>
                <w:color w:val="000000" w:themeColor="text1"/>
                <w:sz w:val="21"/>
                <w:szCs w:val="21"/>
              </w:rPr>
              <w:t>；用于唱标的“开标一览表”一式一份。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1012" w:type="dxa"/>
            <w:vAlign w:val="center"/>
          </w:tcPr>
          <w:p>
            <w:pPr>
              <w:pStyle w:val="76"/>
              <w:numPr>
                <w:ilvl w:val="0"/>
                <w:numId w:val="3"/>
              </w:numPr>
              <w:ind w:right="264"/>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投标文件的装订</w:t>
            </w:r>
          </w:p>
        </w:tc>
        <w:tc>
          <w:tcPr>
            <w:tcW w:w="6436" w:type="dxa"/>
            <w:vAlign w:val="center"/>
          </w:tcPr>
          <w:p>
            <w:pPr>
              <w:pStyle w:val="76"/>
              <w:ind w:firstLine="210" w:firstLineChars="100"/>
              <w:rPr>
                <w:rFonts w:ascii="仿宋" w:hAnsi="仿宋" w:eastAsia="仿宋"/>
                <w:color w:val="000000" w:themeColor="text1"/>
                <w:sz w:val="21"/>
                <w:szCs w:val="21"/>
                <w:lang w:val="zh-CN"/>
              </w:rPr>
            </w:pPr>
            <w:bookmarkStart w:id="45" w:name="PO_默认文件内容_35"/>
            <w:r>
              <w:rPr>
                <w:rFonts w:hint="eastAsia" w:ascii="仿宋" w:hAnsi="仿宋" w:eastAsia="仿宋"/>
                <w:color w:val="000000" w:themeColor="text1"/>
                <w:sz w:val="21"/>
                <w:szCs w:val="21"/>
                <w:lang w:val="zh-CN"/>
              </w:rPr>
              <w:t>正本和副本及用于唱标的“开标一览表”分别装订。</w:t>
            </w:r>
            <w:bookmarkEnd w:id="4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2" w:hRule="atLeast"/>
          <w:jc w:val="center"/>
        </w:trPr>
        <w:tc>
          <w:tcPr>
            <w:tcW w:w="1012" w:type="dxa"/>
            <w:vAlign w:val="center"/>
          </w:tcPr>
          <w:p>
            <w:pPr>
              <w:pStyle w:val="76"/>
              <w:numPr>
                <w:ilvl w:val="0"/>
                <w:numId w:val="3"/>
              </w:numPr>
              <w:ind w:right="264"/>
              <w:jc w:val="center"/>
              <w:rPr>
                <w:rFonts w:ascii="仿宋" w:hAnsi="仿宋" w:eastAsia="仿宋" w:cs="Arial"/>
                <w:color w:val="000000" w:themeColor="text1"/>
                <w:sz w:val="21"/>
                <w:szCs w:val="21"/>
                <w:lang w:val="zh-CN"/>
              </w:rPr>
            </w:pPr>
          </w:p>
        </w:tc>
        <w:tc>
          <w:tcPr>
            <w:tcW w:w="2053" w:type="dxa"/>
            <w:vAlign w:val="center"/>
          </w:tcPr>
          <w:p>
            <w:pPr>
              <w:pStyle w:val="76"/>
              <w:ind w:firstLine="109" w:firstLineChars="52"/>
              <w:rPr>
                <w:rFonts w:ascii="仿宋" w:hAnsi="仿宋" w:eastAsia="仿宋" w:cs="Arial"/>
                <w:color w:val="000000" w:themeColor="text1"/>
                <w:sz w:val="21"/>
                <w:szCs w:val="21"/>
                <w:lang w:val="zh-CN"/>
              </w:rPr>
            </w:pPr>
            <w:r>
              <w:rPr>
                <w:rFonts w:hint="eastAsia" w:ascii="仿宋" w:hAnsi="仿宋" w:eastAsia="仿宋"/>
                <w:color w:val="000000" w:themeColor="text1"/>
                <w:sz w:val="21"/>
                <w:szCs w:val="21"/>
                <w:lang w:val="zh-CN"/>
              </w:rPr>
              <w:t>投标文件封面的标注</w:t>
            </w:r>
          </w:p>
        </w:tc>
        <w:tc>
          <w:tcPr>
            <w:tcW w:w="6436" w:type="dxa"/>
            <w:vAlign w:val="center"/>
          </w:tcPr>
          <w:p>
            <w:pPr>
              <w:pStyle w:val="76"/>
              <w:ind w:firstLine="210" w:firstLineChars="100"/>
              <w:jc w:val="both"/>
              <w:rPr>
                <w:rFonts w:ascii="仿宋" w:hAnsi="仿宋" w:eastAsia="仿宋"/>
                <w:color w:val="000000" w:themeColor="text1"/>
                <w:sz w:val="21"/>
                <w:szCs w:val="21"/>
                <w:lang w:val="zh-CN"/>
              </w:rPr>
            </w:pPr>
            <w:bookmarkStart w:id="46" w:name="PO_默认文件内容_36"/>
            <w:r>
              <w:rPr>
                <w:rFonts w:hint="eastAsia" w:ascii="仿宋" w:hAnsi="仿宋" w:eastAsia="仿宋"/>
                <w:color w:val="000000" w:themeColor="text1"/>
                <w:sz w:val="21"/>
                <w:szCs w:val="21"/>
                <w:lang w:val="zh-CN"/>
              </w:rPr>
              <w:t>投标文件正本和副本的封面上均应标明：招标项目名称、招标编号、分包号（如有分包）、投标人名称、年月日；并分别在右上角标明“正本”和“副本”字样。</w:t>
            </w:r>
            <w:bookmarkEnd w:id="4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4" w:hRule="atLeast"/>
          <w:jc w:val="center"/>
        </w:trPr>
        <w:tc>
          <w:tcPr>
            <w:tcW w:w="1012" w:type="dxa"/>
            <w:vAlign w:val="center"/>
          </w:tcPr>
          <w:p>
            <w:pPr>
              <w:pStyle w:val="76"/>
              <w:numPr>
                <w:ilvl w:val="0"/>
                <w:numId w:val="3"/>
              </w:numPr>
              <w:ind w:right="264"/>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投标文件外层密封袋的标注</w:t>
            </w:r>
          </w:p>
        </w:tc>
        <w:tc>
          <w:tcPr>
            <w:tcW w:w="6436" w:type="dxa"/>
            <w:vAlign w:val="center"/>
          </w:tcPr>
          <w:p>
            <w:pPr>
              <w:pStyle w:val="76"/>
              <w:ind w:firstLine="210" w:firstLineChars="100"/>
              <w:jc w:val="both"/>
              <w:rPr>
                <w:rFonts w:ascii="仿宋" w:hAnsi="仿宋" w:eastAsia="仿宋"/>
                <w:color w:val="000000" w:themeColor="text1"/>
                <w:sz w:val="21"/>
                <w:szCs w:val="21"/>
                <w:lang w:val="zh-CN"/>
              </w:rPr>
            </w:pPr>
            <w:bookmarkStart w:id="47" w:name="PO_默认文件内容_37"/>
            <w:r>
              <w:rPr>
                <w:rFonts w:hint="eastAsia" w:ascii="仿宋" w:hAnsi="仿宋" w:eastAsia="仿宋"/>
                <w:color w:val="000000" w:themeColor="text1"/>
                <w:sz w:val="21"/>
                <w:szCs w:val="21"/>
                <w:lang w:val="zh-CN"/>
              </w:rPr>
              <w:t>招标项目名称、招标编号、分包号（如有分包）、投标人名称、年月日。</w:t>
            </w:r>
            <w:bookmarkEnd w:id="4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5" w:hRule="exact"/>
          <w:jc w:val="center"/>
        </w:trPr>
        <w:tc>
          <w:tcPr>
            <w:tcW w:w="1012" w:type="dxa"/>
            <w:vAlign w:val="center"/>
          </w:tcPr>
          <w:p>
            <w:pPr>
              <w:pStyle w:val="76"/>
              <w:numPr>
                <w:ilvl w:val="0"/>
                <w:numId w:val="3"/>
              </w:numPr>
              <w:ind w:right="264"/>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递交投标文件地点</w:t>
            </w:r>
          </w:p>
        </w:tc>
        <w:tc>
          <w:tcPr>
            <w:tcW w:w="6436" w:type="dxa"/>
            <w:vAlign w:val="center"/>
          </w:tcPr>
          <w:p>
            <w:pPr>
              <w:autoSpaceDE w:val="0"/>
              <w:autoSpaceDN w:val="0"/>
              <w:adjustRightInd w:val="0"/>
              <w:jc w:val="left"/>
              <w:rPr>
                <w:rFonts w:ascii="仿宋" w:hAnsi="仿宋" w:eastAsia="仿宋"/>
                <w:color w:val="000000" w:themeColor="text1"/>
                <w:sz w:val="21"/>
                <w:szCs w:val="21"/>
              </w:rPr>
            </w:pPr>
            <w:r>
              <w:rPr>
                <w:rFonts w:hint="eastAsia" w:ascii="仿宋" w:hAnsi="仿宋" w:eastAsia="仿宋"/>
                <w:color w:val="000000" w:themeColor="text1"/>
                <w:sz w:val="21"/>
                <w:szCs w:val="21"/>
              </w:rPr>
              <w:t>重庆交通职业学院。（现场递交投标文件）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76"/>
              <w:numPr>
                <w:ilvl w:val="0"/>
                <w:numId w:val="3"/>
              </w:numPr>
              <w:ind w:right="264"/>
              <w:jc w:val="center"/>
              <w:rPr>
                <w:rFonts w:ascii="仿宋" w:hAnsi="仿宋" w:eastAsia="仿宋" w:cs="Courier New"/>
                <w:color w:val="000000" w:themeColor="text1"/>
                <w:sz w:val="21"/>
                <w:szCs w:val="21"/>
                <w:lang w:val="zh-CN"/>
              </w:rPr>
            </w:pPr>
          </w:p>
        </w:tc>
        <w:tc>
          <w:tcPr>
            <w:tcW w:w="2053" w:type="dxa"/>
            <w:vAlign w:val="center"/>
          </w:tcPr>
          <w:p>
            <w:pPr>
              <w:pStyle w:val="76"/>
              <w:ind w:left="110"/>
              <w:rPr>
                <w:rFonts w:ascii="仿宋" w:hAnsi="仿宋" w:eastAsia="仿宋" w:cs="Arial"/>
                <w:color w:val="000000" w:themeColor="text1"/>
                <w:sz w:val="21"/>
                <w:szCs w:val="21"/>
                <w:lang w:val="zh-CN"/>
              </w:rPr>
            </w:pPr>
            <w:r>
              <w:rPr>
                <w:rFonts w:hint="eastAsia" w:ascii="仿宋" w:hAnsi="仿宋" w:eastAsia="仿宋"/>
                <w:color w:val="000000" w:themeColor="text1"/>
                <w:sz w:val="21"/>
                <w:szCs w:val="21"/>
                <w:lang w:val="zh-CN"/>
              </w:rPr>
              <w:t>开标时间和地点</w:t>
            </w:r>
          </w:p>
        </w:tc>
        <w:tc>
          <w:tcPr>
            <w:tcW w:w="6436" w:type="dxa"/>
            <w:vAlign w:val="center"/>
          </w:tcPr>
          <w:p>
            <w:pPr>
              <w:pStyle w:val="76"/>
              <w:ind w:firstLine="210" w:firstLineChars="100"/>
              <w:rPr>
                <w:rFonts w:ascii="仿宋" w:hAnsi="仿宋" w:eastAsia="仿宋"/>
                <w:color w:val="000000" w:themeColor="text1"/>
                <w:sz w:val="21"/>
                <w:szCs w:val="21"/>
                <w:lang w:val="zh-CN"/>
              </w:rPr>
            </w:pPr>
            <w:bookmarkStart w:id="48" w:name="PO_默认文件内容_39"/>
            <w:r>
              <w:rPr>
                <w:rFonts w:hint="eastAsia" w:ascii="仿宋" w:hAnsi="仿宋" w:eastAsia="仿宋"/>
                <w:color w:val="000000" w:themeColor="text1"/>
                <w:sz w:val="21"/>
                <w:szCs w:val="21"/>
                <w:lang w:val="zh-CN"/>
              </w:rPr>
              <w:t>开标时间：同投标截止时间。</w:t>
            </w:r>
          </w:p>
          <w:p>
            <w:pPr>
              <w:pStyle w:val="76"/>
              <w:ind w:firstLine="210" w:firstLineChars="100"/>
              <w:rPr>
                <w:rFonts w:ascii="仿宋" w:hAnsi="仿宋" w:eastAsia="仿宋"/>
                <w:color w:val="000000" w:themeColor="text1"/>
                <w:sz w:val="21"/>
                <w:szCs w:val="21"/>
                <w:lang w:val="zh-CN"/>
              </w:rPr>
            </w:pPr>
            <w:r>
              <w:rPr>
                <w:rFonts w:hint="eastAsia" w:ascii="仿宋" w:hAnsi="仿宋" w:eastAsia="仿宋"/>
                <w:color w:val="000000" w:themeColor="text1"/>
                <w:sz w:val="21"/>
                <w:szCs w:val="21"/>
                <w:lang w:val="zh-CN"/>
              </w:rPr>
              <w:t>开标地点：同投标文件递交地点。</w:t>
            </w:r>
            <w:bookmarkEnd w:id="48"/>
          </w:p>
        </w:tc>
      </w:tr>
    </w:tbl>
    <w:p>
      <w:pPr>
        <w:pStyle w:val="3"/>
        <w:spacing w:line="400" w:lineRule="exact"/>
        <w:rPr>
          <w:rFonts w:ascii="仿宋" w:hAnsi="仿宋" w:eastAsia="仿宋"/>
          <w:bCs w:val="0"/>
          <w:color w:val="000000" w:themeColor="text1"/>
        </w:rPr>
        <w:sectPr>
          <w:footerReference r:id="rId3" w:type="default"/>
          <w:pgSz w:w="11907" w:h="16840"/>
          <w:pgMar w:top="1440" w:right="1474" w:bottom="1440" w:left="1474" w:header="851" w:footer="992" w:gutter="0"/>
          <w:cols w:space="720" w:num="1"/>
          <w:docGrid w:linePitch="312" w:charSpace="0"/>
        </w:sectPr>
      </w:pPr>
    </w:p>
    <w:p>
      <w:pPr>
        <w:pStyle w:val="3"/>
        <w:spacing w:line="400" w:lineRule="exact"/>
        <w:jc w:val="center"/>
        <w:rPr>
          <w:rFonts w:ascii="仿宋" w:hAnsi="仿宋" w:eastAsia="仿宋"/>
          <w:bCs w:val="0"/>
          <w:color w:val="000000" w:themeColor="text1"/>
        </w:rPr>
      </w:pPr>
      <w:r>
        <w:rPr>
          <w:rFonts w:hint="eastAsia" w:ascii="仿宋" w:hAnsi="仿宋" w:eastAsia="仿宋"/>
          <w:bCs w:val="0"/>
          <w:color w:val="000000" w:themeColor="text1"/>
        </w:rPr>
        <w:t>一、总  则</w:t>
      </w:r>
      <w:bookmarkEnd w:id="38"/>
      <w:bookmarkEnd w:id="39"/>
      <w:bookmarkEnd w:id="40"/>
      <w:bookmarkEnd w:id="41"/>
      <w:bookmarkEnd w:id="42"/>
    </w:p>
    <w:p>
      <w:pPr>
        <w:pStyle w:val="4"/>
        <w:spacing w:line="400" w:lineRule="exact"/>
        <w:ind w:firstLine="482" w:firstLineChars="200"/>
        <w:rPr>
          <w:rFonts w:ascii="仿宋" w:hAnsi="仿宋" w:eastAsia="仿宋"/>
          <w:color w:val="000000" w:themeColor="text1"/>
          <w:sz w:val="24"/>
        </w:rPr>
      </w:pPr>
      <w:bookmarkStart w:id="49" w:name="_Toc183582205"/>
      <w:bookmarkStart w:id="50" w:name="_Toc183682342"/>
      <w:bookmarkStart w:id="51" w:name="_Toc217446034"/>
      <w:bookmarkStart w:id="52" w:name="PO_默认文件内容_41"/>
      <w:r>
        <w:rPr>
          <w:rFonts w:hint="eastAsia" w:ascii="仿宋" w:hAnsi="仿宋" w:eastAsia="仿宋"/>
          <w:color w:val="000000" w:themeColor="text1"/>
          <w:sz w:val="24"/>
        </w:rPr>
        <w:t>1</w:t>
      </w:r>
      <w:r>
        <w:rPr>
          <w:rFonts w:ascii="仿宋" w:hAnsi="仿宋" w:eastAsia="仿宋"/>
          <w:color w:val="000000" w:themeColor="text1"/>
          <w:sz w:val="24"/>
        </w:rPr>
        <w:t>.</w:t>
      </w:r>
      <w:bookmarkEnd w:id="49"/>
      <w:bookmarkEnd w:id="50"/>
      <w:r>
        <w:rPr>
          <w:rFonts w:hint="eastAsia" w:ascii="仿宋" w:hAnsi="仿宋" w:eastAsia="仿宋"/>
          <w:color w:val="000000" w:themeColor="text1"/>
          <w:sz w:val="24"/>
          <w:szCs w:val="24"/>
        </w:rPr>
        <w:t>适用范围</w:t>
      </w:r>
      <w:bookmarkEnd w:id="51"/>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w:t>
      </w:r>
      <w:r>
        <w:rPr>
          <w:rFonts w:ascii="仿宋" w:hAnsi="仿宋" w:eastAsia="仿宋"/>
          <w:color w:val="000000" w:themeColor="text1"/>
          <w:sz w:val="24"/>
        </w:rPr>
        <w:t>.</w:t>
      </w:r>
      <w:r>
        <w:rPr>
          <w:rFonts w:hint="eastAsia" w:ascii="仿宋" w:hAnsi="仿宋" w:eastAsia="仿宋"/>
          <w:color w:val="000000" w:themeColor="text1"/>
          <w:sz w:val="24"/>
        </w:rPr>
        <w:t>1 本招标文件仅适用于本次公开招标所叙述的货物和服务项目采购。</w:t>
      </w:r>
    </w:p>
    <w:p>
      <w:pPr>
        <w:pStyle w:val="4"/>
        <w:spacing w:line="400" w:lineRule="exact"/>
        <w:ind w:firstLine="482" w:firstLineChars="200"/>
        <w:rPr>
          <w:rFonts w:ascii="仿宋" w:hAnsi="仿宋" w:eastAsia="仿宋"/>
          <w:color w:val="000000" w:themeColor="text1"/>
          <w:sz w:val="24"/>
        </w:rPr>
      </w:pPr>
      <w:bookmarkStart w:id="53" w:name="_Toc183582206"/>
      <w:bookmarkStart w:id="54" w:name="_Toc183682343"/>
      <w:bookmarkStart w:id="55" w:name="_Toc217446035"/>
      <w:r>
        <w:rPr>
          <w:rFonts w:ascii="仿宋" w:hAnsi="仿宋" w:eastAsia="仿宋"/>
          <w:color w:val="000000" w:themeColor="text1"/>
          <w:sz w:val="24"/>
        </w:rPr>
        <w:t>2.</w:t>
      </w:r>
      <w:bookmarkEnd w:id="53"/>
      <w:bookmarkEnd w:id="54"/>
      <w:r>
        <w:rPr>
          <w:rFonts w:hint="eastAsia" w:ascii="仿宋" w:hAnsi="仿宋" w:eastAsia="仿宋"/>
          <w:color w:val="000000" w:themeColor="text1"/>
          <w:sz w:val="24"/>
        </w:rPr>
        <w:t>有关</w:t>
      </w:r>
      <w:r>
        <w:rPr>
          <w:rFonts w:hint="eastAsia" w:ascii="仿宋" w:hAnsi="仿宋" w:eastAsia="仿宋"/>
          <w:color w:val="000000" w:themeColor="text1"/>
          <w:sz w:val="24"/>
          <w:szCs w:val="24"/>
        </w:rPr>
        <w:t>定义</w:t>
      </w:r>
      <w:bookmarkEnd w:id="55"/>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w:t>
      </w:r>
      <w:r>
        <w:rPr>
          <w:rFonts w:ascii="仿宋" w:hAnsi="仿宋" w:eastAsia="仿宋"/>
          <w:color w:val="000000" w:themeColor="text1"/>
          <w:sz w:val="24"/>
        </w:rPr>
        <w:t>.</w:t>
      </w:r>
      <w:r>
        <w:rPr>
          <w:rFonts w:hint="eastAsia" w:ascii="仿宋" w:hAnsi="仿宋" w:eastAsia="仿宋"/>
          <w:color w:val="000000" w:themeColor="text1"/>
          <w:sz w:val="24"/>
        </w:rPr>
        <w:t>1 “招标人”系指依法进行采购的使用者。本次招标的招标人是</w:t>
      </w:r>
      <w:bookmarkEnd w:id="52"/>
      <w:r>
        <w:rPr>
          <w:rFonts w:hint="eastAsia" w:ascii="仿宋" w:hAnsi="仿宋" w:eastAsia="仿宋"/>
          <w:color w:val="000000" w:themeColor="text1"/>
          <w:sz w:val="24"/>
          <w:szCs w:val="22"/>
          <w:u w:val="single"/>
        </w:rPr>
        <w:t>重庆交通职业学院</w:t>
      </w:r>
      <w:r>
        <w:rPr>
          <w:rFonts w:hint="eastAsia" w:ascii="仿宋" w:hAnsi="仿宋" w:eastAsia="仿宋"/>
          <w:color w:val="000000" w:themeColor="text1"/>
          <w:sz w:val="24"/>
        </w:rPr>
        <w:t>。</w:t>
      </w:r>
    </w:p>
    <w:p>
      <w:pPr>
        <w:tabs>
          <w:tab w:val="left" w:pos="7665"/>
        </w:tabs>
        <w:spacing w:line="400" w:lineRule="exact"/>
        <w:ind w:firstLine="480" w:firstLineChars="200"/>
        <w:rPr>
          <w:rFonts w:ascii="仿宋" w:hAnsi="仿宋" w:eastAsia="仿宋"/>
          <w:color w:val="000000" w:themeColor="text1"/>
          <w:sz w:val="24"/>
        </w:rPr>
      </w:pPr>
      <w:bookmarkStart w:id="56" w:name="PO_默认文件内容_42"/>
      <w:r>
        <w:rPr>
          <w:rFonts w:hint="eastAsia" w:ascii="仿宋" w:hAnsi="仿宋" w:eastAsia="仿宋"/>
          <w:color w:val="000000" w:themeColor="text1"/>
          <w:sz w:val="24"/>
        </w:rPr>
        <w:t>2.2 “招标采购单位”系指“招标人”。</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w:t>
      </w:r>
      <w:r>
        <w:rPr>
          <w:rFonts w:ascii="仿宋" w:hAnsi="仿宋" w:eastAsia="仿宋"/>
          <w:color w:val="000000" w:themeColor="text1"/>
          <w:sz w:val="24"/>
        </w:rPr>
        <w:t>.</w:t>
      </w:r>
      <w:r>
        <w:rPr>
          <w:rFonts w:hint="eastAsia" w:ascii="仿宋" w:hAnsi="仿宋" w:eastAsia="仿宋"/>
          <w:color w:val="000000" w:themeColor="text1"/>
          <w:sz w:val="24"/>
        </w:rPr>
        <w:t>3 “投标人”系指下载了招标文件拟参加投标和向招标人提供货物及相应服务的供应商。</w:t>
      </w:r>
      <w:bookmarkEnd w:id="56"/>
    </w:p>
    <w:p>
      <w:pPr>
        <w:pStyle w:val="4"/>
        <w:spacing w:line="400" w:lineRule="exact"/>
        <w:ind w:firstLine="482" w:firstLineChars="200"/>
        <w:rPr>
          <w:rFonts w:ascii="仿宋" w:hAnsi="仿宋" w:eastAsia="仿宋"/>
          <w:color w:val="000000" w:themeColor="text1"/>
          <w:sz w:val="24"/>
        </w:rPr>
      </w:pPr>
      <w:bookmarkStart w:id="57" w:name="_Toc183682344"/>
      <w:bookmarkStart w:id="58" w:name="_Toc217390843"/>
      <w:bookmarkStart w:id="59" w:name="_Toc217446036"/>
      <w:bookmarkStart w:id="60" w:name="_Toc183582207"/>
      <w:bookmarkStart w:id="61" w:name="PO_默认文件内容_8"/>
      <w:r>
        <w:rPr>
          <w:rFonts w:ascii="仿宋" w:hAnsi="仿宋" w:eastAsia="仿宋"/>
          <w:color w:val="000000" w:themeColor="text1"/>
          <w:sz w:val="24"/>
        </w:rPr>
        <w:t>3.</w:t>
      </w:r>
      <w:r>
        <w:rPr>
          <w:rFonts w:hint="eastAsia" w:ascii="仿宋" w:hAnsi="仿宋" w:eastAsia="仿宋"/>
          <w:color w:val="000000" w:themeColor="text1"/>
          <w:sz w:val="24"/>
        </w:rPr>
        <w:t xml:space="preserve"> 合格的投标人</w:t>
      </w:r>
      <w:bookmarkEnd w:id="57"/>
      <w:bookmarkEnd w:id="58"/>
      <w:bookmarkEnd w:id="59"/>
      <w:bookmarkEnd w:id="60"/>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合格的投标人应具备以下条件：</w:t>
      </w:r>
    </w:p>
    <w:p>
      <w:pPr>
        <w:tabs>
          <w:tab w:val="left" w:pos="7665"/>
        </w:tabs>
        <w:spacing w:line="400" w:lineRule="exact"/>
        <w:ind w:firstLine="480" w:firstLineChars="200"/>
        <w:rPr>
          <w:rFonts w:ascii="仿宋" w:hAnsi="仿宋" w:eastAsia="仿宋"/>
          <w:color w:val="000000" w:themeColor="text1"/>
          <w:spacing w:val="-4"/>
          <w:sz w:val="24"/>
        </w:rPr>
      </w:pPr>
      <w:r>
        <w:rPr>
          <w:rFonts w:hint="eastAsia" w:ascii="仿宋" w:hAnsi="仿宋" w:eastAsia="仿宋"/>
          <w:color w:val="000000" w:themeColor="text1"/>
          <w:sz w:val="24"/>
        </w:rPr>
        <w:t>（1）具备“投标邀请”的基本条件</w:t>
      </w:r>
      <w:r>
        <w:rPr>
          <w:rFonts w:hint="eastAsia" w:ascii="仿宋" w:hAnsi="仿宋" w:eastAsia="仿宋"/>
          <w:color w:val="000000" w:themeColor="text1"/>
          <w:spacing w:val="-4"/>
          <w:sz w:val="24"/>
        </w:rPr>
        <w:t>；</w:t>
      </w:r>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 xml:space="preserve">    （2）下载了招标文件并登记备案；</w:t>
      </w:r>
    </w:p>
    <w:p>
      <w:pPr>
        <w:tabs>
          <w:tab w:val="left" w:pos="7665"/>
        </w:tabs>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（3）遵守国家有关的法律、法规和条例；</w:t>
      </w:r>
    </w:p>
    <w:p>
      <w:pPr>
        <w:tabs>
          <w:tab w:val="left" w:pos="7665"/>
        </w:tabs>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（4）招标文件和法律、行政法规规定的其他条件。</w:t>
      </w:r>
    </w:p>
    <w:p>
      <w:pPr>
        <w:pStyle w:val="4"/>
        <w:spacing w:line="400" w:lineRule="exact"/>
        <w:ind w:firstLine="482" w:firstLineChars="200"/>
        <w:rPr>
          <w:rFonts w:ascii="仿宋" w:hAnsi="仿宋" w:eastAsia="仿宋"/>
          <w:color w:val="000000" w:themeColor="text1"/>
          <w:sz w:val="24"/>
        </w:rPr>
      </w:pPr>
      <w:bookmarkStart w:id="62" w:name="_Toc217446037"/>
      <w:bookmarkStart w:id="63" w:name="_Toc183682345"/>
      <w:bookmarkStart w:id="64" w:name="_Toc183582208"/>
      <w:r>
        <w:rPr>
          <w:rFonts w:hint="eastAsia" w:ascii="仿宋" w:hAnsi="仿宋" w:eastAsia="仿宋"/>
          <w:color w:val="000000" w:themeColor="text1"/>
          <w:sz w:val="24"/>
        </w:rPr>
        <w:t>4. 投标费用</w:t>
      </w:r>
      <w:bookmarkEnd w:id="62"/>
      <w:bookmarkEnd w:id="63"/>
      <w:bookmarkEnd w:id="64"/>
    </w:p>
    <w:p>
      <w:pPr>
        <w:tabs>
          <w:tab w:val="left" w:pos="7665"/>
        </w:tabs>
        <w:spacing w:line="400" w:lineRule="exact"/>
        <w:rPr>
          <w:rFonts w:ascii="仿宋" w:hAnsi="仿宋" w:eastAsia="仿宋"/>
          <w:b/>
          <w:color w:val="000000" w:themeColor="text1"/>
          <w:sz w:val="24"/>
        </w:rPr>
      </w:pPr>
      <w:r>
        <w:rPr>
          <w:rFonts w:hint="eastAsia" w:ascii="仿宋" w:hAnsi="仿宋" w:eastAsia="仿宋"/>
          <w:color w:val="000000" w:themeColor="text1"/>
          <w:sz w:val="24"/>
        </w:rPr>
        <w:t xml:space="preserve">    投标人参加投标的有关费用由投标人自行承担。</w:t>
      </w:r>
    </w:p>
    <w:p>
      <w:pPr>
        <w:pStyle w:val="3"/>
        <w:spacing w:line="400" w:lineRule="exact"/>
        <w:jc w:val="center"/>
        <w:rPr>
          <w:rFonts w:ascii="仿宋" w:hAnsi="仿宋" w:eastAsia="仿宋"/>
          <w:bCs w:val="0"/>
          <w:color w:val="000000" w:themeColor="text1"/>
        </w:rPr>
      </w:pPr>
      <w:bookmarkStart w:id="65" w:name="_Toc77400779"/>
      <w:bookmarkStart w:id="66" w:name="_Toc217446038"/>
      <w:bookmarkStart w:id="67" w:name="_Toc183582209"/>
      <w:bookmarkStart w:id="68" w:name="_Toc183682346"/>
      <w:bookmarkStart w:id="69" w:name="_Toc89075875"/>
      <w:r>
        <w:rPr>
          <w:rFonts w:hint="eastAsia" w:ascii="仿宋" w:hAnsi="仿宋" w:eastAsia="仿宋"/>
          <w:bCs w:val="0"/>
          <w:color w:val="000000" w:themeColor="text1"/>
        </w:rPr>
        <w:t>二、招标文件</w:t>
      </w:r>
      <w:bookmarkEnd w:id="65"/>
      <w:bookmarkEnd w:id="66"/>
      <w:bookmarkEnd w:id="67"/>
      <w:bookmarkEnd w:id="68"/>
      <w:bookmarkEnd w:id="69"/>
    </w:p>
    <w:p>
      <w:pPr>
        <w:pStyle w:val="4"/>
        <w:spacing w:line="400" w:lineRule="exact"/>
        <w:ind w:firstLine="482" w:firstLineChars="200"/>
        <w:rPr>
          <w:rFonts w:ascii="仿宋" w:hAnsi="仿宋" w:eastAsia="仿宋"/>
          <w:color w:val="000000" w:themeColor="text1"/>
          <w:sz w:val="24"/>
        </w:rPr>
      </w:pPr>
      <w:bookmarkStart w:id="70" w:name="_Toc183582210"/>
      <w:bookmarkStart w:id="71" w:name="_Toc217446039"/>
      <w:bookmarkStart w:id="72" w:name="_Toc183682347"/>
      <w:r>
        <w:rPr>
          <w:rFonts w:hint="eastAsia" w:ascii="仿宋" w:hAnsi="仿宋" w:eastAsia="仿宋"/>
          <w:color w:val="000000" w:themeColor="text1"/>
          <w:sz w:val="24"/>
        </w:rPr>
        <w:t>5．招标文件的构成</w:t>
      </w:r>
      <w:bookmarkEnd w:id="70"/>
      <w:bookmarkEnd w:id="71"/>
      <w:bookmarkEnd w:id="72"/>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 xml:space="preserve">    5</w:t>
      </w:r>
      <w:r>
        <w:rPr>
          <w:rFonts w:ascii="仿宋" w:hAnsi="仿宋" w:eastAsia="仿宋"/>
          <w:b/>
          <w:bCs/>
          <w:color w:val="000000" w:themeColor="text1"/>
          <w:sz w:val="24"/>
        </w:rPr>
        <w:t>.</w:t>
      </w:r>
      <w:r>
        <w:rPr>
          <w:rFonts w:hint="eastAsia" w:ascii="仿宋" w:hAnsi="仿宋" w:eastAsia="仿宋"/>
          <w:color w:val="000000" w:themeColor="text1"/>
          <w:sz w:val="24"/>
        </w:rPr>
        <w:t>1 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 xml:space="preserve">（1）投标邀请；  </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（2）投标人须知及前附表；</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（3）投标文件格式要求；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（4）投标人有关资格证明文件要求；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（5）招标项目及要求；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（6）评标办法；</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（7）合同主要条款。</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w:t>
      </w:r>
      <w:r>
        <w:rPr>
          <w:rFonts w:hint="eastAsia" w:ascii="仿宋" w:hAnsi="仿宋" w:eastAsia="仿宋"/>
          <w:b/>
          <w:bCs/>
          <w:color w:val="000000" w:themeColor="text1"/>
          <w:sz w:val="24"/>
        </w:rPr>
        <w:t>.</w:t>
      </w:r>
      <w:r>
        <w:rPr>
          <w:rFonts w:hint="eastAsia" w:ascii="仿宋" w:hAnsi="仿宋" w:eastAsia="仿宋"/>
          <w:color w:val="000000" w:themeColor="text1"/>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4"/>
        <w:spacing w:line="400" w:lineRule="exact"/>
        <w:ind w:firstLine="482" w:firstLineChars="200"/>
        <w:rPr>
          <w:rFonts w:ascii="仿宋" w:hAnsi="仿宋" w:eastAsia="仿宋"/>
          <w:color w:val="000000" w:themeColor="text1"/>
          <w:sz w:val="24"/>
        </w:rPr>
      </w:pPr>
      <w:bookmarkStart w:id="73" w:name="_Toc183582211"/>
      <w:bookmarkStart w:id="74" w:name="_Toc183682348"/>
      <w:bookmarkStart w:id="75" w:name="_Toc217446040"/>
      <w:r>
        <w:rPr>
          <w:rFonts w:hint="eastAsia" w:ascii="仿宋" w:hAnsi="仿宋" w:eastAsia="仿宋"/>
          <w:color w:val="000000" w:themeColor="text1"/>
          <w:sz w:val="24"/>
        </w:rPr>
        <w:t>6. 招标文件的澄清</w:t>
      </w:r>
      <w:bookmarkEnd w:id="73"/>
      <w:bookmarkEnd w:id="74"/>
      <w:r>
        <w:rPr>
          <w:rFonts w:hint="eastAsia" w:ascii="仿宋" w:hAnsi="仿宋" w:eastAsia="仿宋"/>
          <w:color w:val="000000" w:themeColor="text1"/>
          <w:sz w:val="24"/>
        </w:rPr>
        <w:t>和修改</w:t>
      </w:r>
      <w:bookmarkEnd w:id="75"/>
    </w:p>
    <w:p>
      <w:pPr>
        <w:tabs>
          <w:tab w:val="left" w:pos="720"/>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w:t>
      </w:r>
      <w:r>
        <w:rPr>
          <w:rFonts w:ascii="仿宋" w:hAnsi="仿宋" w:eastAsia="仿宋"/>
          <w:color w:val="000000" w:themeColor="text1"/>
          <w:sz w:val="24"/>
        </w:rPr>
        <w:t>.1</w:t>
      </w:r>
      <w:r>
        <w:rPr>
          <w:rFonts w:hint="eastAsia" w:ascii="仿宋" w:hAnsi="仿宋" w:eastAsia="仿宋"/>
          <w:color w:val="000000" w:themeColor="text1"/>
          <w:sz w:val="24"/>
        </w:rPr>
        <w:t xml:space="preserve"> 在投标截止时间前，招标采购单位无论出于何种原因，可以对招标文件进行澄清或者修改。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w:t>
      </w:r>
      <w:r>
        <w:rPr>
          <w:rFonts w:ascii="仿宋" w:hAnsi="仿宋" w:eastAsia="仿宋"/>
          <w:color w:val="000000" w:themeColor="text1"/>
          <w:sz w:val="24"/>
        </w:rPr>
        <w:t>.2</w:t>
      </w:r>
      <w:r>
        <w:rPr>
          <w:rFonts w:hint="eastAsia" w:ascii="仿宋" w:hAnsi="仿宋" w:eastAsia="仿宋"/>
          <w:color w:val="000000" w:themeColor="text1"/>
          <w:sz w:val="24"/>
        </w:rPr>
        <w:t xml:space="preserve"> 招标采购单位对已发出的招标文件进行澄清或者修改，将在招标文件要求的提交投标文件截止时间三日前进行，在重庆交通职业学院官网上发布公告，并以书面形式将澄清或者修改的内容通知所有下载了招标文件的供应商。该澄清或者修改的内容为招标文件的组成部分。</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6.3 在投标截止时间前，招标采购单位可以视采购具体情况，延长投标截止时间和开标时间，并将变更时间以书面形式通知所有下载了招标文件的供应商。</w:t>
      </w:r>
    </w:p>
    <w:p>
      <w:pPr>
        <w:pStyle w:val="4"/>
        <w:spacing w:line="400" w:lineRule="exact"/>
        <w:ind w:firstLine="482" w:firstLineChars="200"/>
        <w:rPr>
          <w:rFonts w:ascii="仿宋" w:hAnsi="仿宋" w:eastAsia="仿宋"/>
          <w:color w:val="000000" w:themeColor="text1"/>
          <w:sz w:val="24"/>
        </w:rPr>
      </w:pPr>
      <w:bookmarkStart w:id="76" w:name="_Toc183682350"/>
      <w:bookmarkStart w:id="77" w:name="_Toc183582213"/>
      <w:bookmarkStart w:id="78" w:name="_Toc208848971"/>
      <w:bookmarkStart w:id="79" w:name="_Toc217446041"/>
      <w:r>
        <w:rPr>
          <w:rFonts w:hint="eastAsia" w:ascii="仿宋" w:hAnsi="仿宋" w:eastAsia="仿宋"/>
          <w:color w:val="000000" w:themeColor="text1"/>
          <w:sz w:val="24"/>
        </w:rPr>
        <w:t>7</w:t>
      </w:r>
      <w:bookmarkEnd w:id="76"/>
      <w:bookmarkEnd w:id="77"/>
      <w:r>
        <w:rPr>
          <w:rFonts w:hint="eastAsia" w:ascii="仿宋" w:hAnsi="仿宋" w:eastAsia="仿宋"/>
          <w:color w:val="000000" w:themeColor="text1"/>
          <w:sz w:val="24"/>
        </w:rPr>
        <w:t>. 答疑会和现场考察</w:t>
      </w:r>
      <w:bookmarkEnd w:id="78"/>
      <w:bookmarkEnd w:id="79"/>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7.1 根据采购项目和具体情况，招标采购单位认为有必要，可以组织召开标前答疑会或组织投标人对项目现场进行考察。答疑会或进行现场考察的时间，招标采购单位将以书面形式通知所有购买了招标文件的供应商。</w:t>
      </w:r>
    </w:p>
    <w:p>
      <w:pPr>
        <w:adjustRightInd w:val="0"/>
        <w:snapToGrid w:val="0"/>
        <w:spacing w:line="400" w:lineRule="exact"/>
        <w:ind w:firstLine="420" w:firstLineChars="175"/>
        <w:rPr>
          <w:rFonts w:ascii="仿宋" w:hAnsi="仿宋" w:eastAsia="仿宋"/>
          <w:color w:val="000000" w:themeColor="text1"/>
          <w:sz w:val="24"/>
        </w:rPr>
      </w:pPr>
      <w:r>
        <w:rPr>
          <w:rFonts w:hint="eastAsia" w:ascii="仿宋" w:hAnsi="仿宋" w:eastAsia="仿宋"/>
          <w:color w:val="000000" w:themeColor="text1"/>
          <w:sz w:val="24"/>
        </w:rPr>
        <w:t>7</w:t>
      </w:r>
      <w:r>
        <w:rPr>
          <w:rFonts w:ascii="仿宋" w:hAnsi="仿宋" w:eastAsia="仿宋"/>
          <w:color w:val="000000" w:themeColor="text1"/>
          <w:sz w:val="24"/>
        </w:rPr>
        <w:t>.</w:t>
      </w:r>
      <w:r>
        <w:rPr>
          <w:rFonts w:hint="eastAsia" w:ascii="仿宋" w:hAnsi="仿宋" w:eastAsia="仿宋"/>
          <w:color w:val="000000" w:themeColor="text1"/>
          <w:sz w:val="24"/>
        </w:rPr>
        <w:t>2 供应商考察现场所发生的一切费用由供应商自己承担。</w:t>
      </w:r>
    </w:p>
    <w:p>
      <w:pPr>
        <w:pStyle w:val="3"/>
        <w:spacing w:line="400" w:lineRule="exact"/>
        <w:jc w:val="center"/>
        <w:rPr>
          <w:rFonts w:ascii="仿宋" w:hAnsi="仿宋" w:eastAsia="仿宋"/>
          <w:bCs w:val="0"/>
          <w:color w:val="000000" w:themeColor="text1"/>
        </w:rPr>
      </w:pPr>
      <w:bookmarkStart w:id="80" w:name="_Toc183682351"/>
      <w:bookmarkStart w:id="81" w:name="_Toc217446042"/>
      <w:bookmarkStart w:id="82" w:name="_Toc183582214"/>
      <w:bookmarkStart w:id="83" w:name="_Toc77400780"/>
      <w:bookmarkStart w:id="84" w:name="_Toc89075876"/>
      <w:r>
        <w:rPr>
          <w:rFonts w:hint="eastAsia" w:ascii="仿宋" w:hAnsi="仿宋" w:eastAsia="仿宋"/>
          <w:bCs w:val="0"/>
          <w:color w:val="000000" w:themeColor="text1"/>
        </w:rPr>
        <w:t>三、投标文件</w:t>
      </w:r>
      <w:bookmarkEnd w:id="80"/>
      <w:bookmarkEnd w:id="81"/>
      <w:bookmarkEnd w:id="82"/>
      <w:bookmarkEnd w:id="83"/>
      <w:bookmarkEnd w:id="84"/>
    </w:p>
    <w:p>
      <w:pPr>
        <w:pStyle w:val="4"/>
        <w:spacing w:line="400" w:lineRule="exact"/>
        <w:ind w:firstLine="482" w:firstLineChars="200"/>
        <w:rPr>
          <w:rFonts w:ascii="仿宋" w:hAnsi="仿宋" w:eastAsia="仿宋"/>
          <w:bCs/>
          <w:color w:val="000000" w:themeColor="text1"/>
          <w:sz w:val="24"/>
        </w:rPr>
      </w:pPr>
      <w:bookmarkStart w:id="85" w:name="_Toc183582215"/>
      <w:bookmarkStart w:id="86" w:name="_Toc183682352"/>
      <w:bookmarkStart w:id="87" w:name="_Toc217446043"/>
      <w:r>
        <w:rPr>
          <w:rFonts w:hint="eastAsia" w:ascii="仿宋" w:hAnsi="仿宋" w:eastAsia="仿宋"/>
          <w:bCs/>
          <w:color w:val="000000" w:themeColor="text1"/>
          <w:sz w:val="24"/>
        </w:rPr>
        <w:t>8．投标文件的语言</w:t>
      </w:r>
      <w:bookmarkEnd w:id="85"/>
      <w:bookmarkEnd w:id="86"/>
      <w:bookmarkEnd w:id="87"/>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8.1 投标人提交的投标文件以及投标人与招标采购单位就有关投标的所有来往书面文件均须使用中文。不接受未翻译并加盖投标人公章的一起资料。</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8.2 翻译的中文资料与外文资料如果出现差异和矛盾时，以中文为准。但不能故意错误翻译，否则，投标人的投标文件将作为无效投标处理。</w:t>
      </w:r>
    </w:p>
    <w:p>
      <w:pPr>
        <w:pStyle w:val="4"/>
        <w:spacing w:line="400" w:lineRule="exact"/>
        <w:ind w:firstLine="482" w:firstLineChars="200"/>
        <w:rPr>
          <w:rFonts w:ascii="仿宋" w:hAnsi="仿宋" w:eastAsia="仿宋"/>
          <w:color w:val="000000" w:themeColor="text1"/>
          <w:sz w:val="24"/>
        </w:rPr>
      </w:pPr>
      <w:bookmarkStart w:id="88" w:name="_Toc183682353"/>
      <w:bookmarkStart w:id="89" w:name="_Toc183582216"/>
      <w:bookmarkStart w:id="90" w:name="_Toc217446044"/>
      <w:r>
        <w:rPr>
          <w:rFonts w:hint="eastAsia" w:ascii="仿宋" w:hAnsi="仿宋" w:eastAsia="仿宋"/>
          <w:color w:val="000000" w:themeColor="text1"/>
          <w:sz w:val="24"/>
        </w:rPr>
        <w:t>9．计量单位</w:t>
      </w:r>
      <w:bookmarkEnd w:id="88"/>
      <w:bookmarkEnd w:id="89"/>
      <w:bookmarkEnd w:id="90"/>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除技术规格及要求中另有规定外，本采购项下的投标均采用国家法定的计量单位。</w:t>
      </w:r>
    </w:p>
    <w:p>
      <w:pPr>
        <w:pStyle w:val="4"/>
        <w:spacing w:line="400" w:lineRule="exact"/>
        <w:ind w:firstLine="482" w:firstLineChars="200"/>
        <w:rPr>
          <w:rFonts w:ascii="仿宋" w:hAnsi="仿宋" w:eastAsia="仿宋"/>
          <w:color w:val="000000" w:themeColor="text1"/>
          <w:sz w:val="24"/>
          <w:szCs w:val="24"/>
        </w:rPr>
      </w:pPr>
      <w:bookmarkStart w:id="91" w:name="_Toc217446045"/>
      <w:r>
        <w:rPr>
          <w:rFonts w:hint="eastAsia" w:ascii="仿宋" w:hAnsi="仿宋" w:eastAsia="仿宋"/>
          <w:color w:val="000000" w:themeColor="text1"/>
          <w:sz w:val="24"/>
          <w:szCs w:val="24"/>
        </w:rPr>
        <w:t>10. 投标货币</w:t>
      </w:r>
      <w:bookmarkEnd w:id="91"/>
    </w:p>
    <w:p>
      <w:pPr>
        <w:tabs>
          <w:tab w:val="left" w:pos="7665"/>
        </w:tabs>
        <w:spacing w:line="400" w:lineRule="exact"/>
        <w:ind w:left="13" w:hanging="118"/>
        <w:rPr>
          <w:rFonts w:ascii="仿宋" w:hAnsi="仿宋" w:eastAsia="仿宋"/>
          <w:color w:val="000000" w:themeColor="text1"/>
          <w:sz w:val="24"/>
        </w:rPr>
      </w:pPr>
      <w:r>
        <w:rPr>
          <w:rFonts w:hint="eastAsia" w:ascii="仿宋" w:hAnsi="仿宋" w:eastAsia="仿宋"/>
          <w:color w:val="000000" w:themeColor="text1"/>
          <w:sz w:val="24"/>
        </w:rPr>
        <w:t xml:space="preserve">    本次招标项目的投标均以人民币报价。</w:t>
      </w:r>
    </w:p>
    <w:p>
      <w:pPr>
        <w:pStyle w:val="4"/>
        <w:spacing w:line="400" w:lineRule="exact"/>
        <w:ind w:firstLine="241" w:firstLineChars="100"/>
        <w:rPr>
          <w:rFonts w:ascii="仿宋" w:hAnsi="仿宋" w:eastAsia="仿宋"/>
          <w:color w:val="000000" w:themeColor="text1"/>
          <w:sz w:val="24"/>
          <w:szCs w:val="24"/>
        </w:rPr>
      </w:pPr>
      <w:bookmarkStart w:id="92" w:name="_Toc217446046"/>
      <w:r>
        <w:rPr>
          <w:rFonts w:hint="eastAsia" w:ascii="仿宋" w:hAnsi="仿宋" w:eastAsia="仿宋"/>
          <w:color w:val="000000" w:themeColor="text1"/>
          <w:sz w:val="24"/>
          <w:szCs w:val="24"/>
        </w:rPr>
        <w:t xml:space="preserve">  11. 联合体投标</w:t>
      </w:r>
      <w:bookmarkEnd w:id="92"/>
      <w:r>
        <w:rPr>
          <w:rFonts w:hint="eastAsia" w:ascii="仿宋" w:hAnsi="仿宋" w:eastAsia="仿宋"/>
          <w:color w:val="000000" w:themeColor="text1"/>
          <w:sz w:val="24"/>
          <w:szCs w:val="24"/>
        </w:rPr>
        <w:t>（本项目不适用）</w:t>
      </w:r>
    </w:p>
    <w:p>
      <w:pPr>
        <w:pStyle w:val="4"/>
        <w:spacing w:line="400" w:lineRule="exact"/>
        <w:ind w:firstLine="482" w:firstLineChars="200"/>
        <w:rPr>
          <w:rFonts w:ascii="仿宋" w:hAnsi="仿宋" w:eastAsia="仿宋"/>
          <w:bCs/>
          <w:color w:val="000000" w:themeColor="text1"/>
          <w:sz w:val="24"/>
          <w:szCs w:val="24"/>
        </w:rPr>
      </w:pPr>
      <w:bookmarkStart w:id="93" w:name="_Toc217446047"/>
      <w:r>
        <w:rPr>
          <w:rFonts w:ascii="仿宋" w:hAnsi="仿宋" w:eastAsia="仿宋"/>
          <w:bCs/>
          <w:color w:val="000000" w:themeColor="text1"/>
          <w:sz w:val="24"/>
          <w:szCs w:val="24"/>
        </w:rPr>
        <w:t>1</w:t>
      </w:r>
      <w:r>
        <w:rPr>
          <w:rFonts w:hint="eastAsia" w:ascii="仿宋" w:hAnsi="仿宋" w:eastAsia="仿宋"/>
          <w:bCs/>
          <w:color w:val="000000" w:themeColor="text1"/>
          <w:sz w:val="24"/>
          <w:szCs w:val="24"/>
        </w:rPr>
        <w:t>2</w:t>
      </w:r>
      <w:r>
        <w:rPr>
          <w:rFonts w:ascii="仿宋" w:hAnsi="仿宋" w:eastAsia="仿宋"/>
          <w:bCs/>
          <w:color w:val="000000" w:themeColor="text1"/>
          <w:sz w:val="24"/>
          <w:szCs w:val="24"/>
        </w:rPr>
        <w:t>.</w:t>
      </w:r>
      <w:r>
        <w:rPr>
          <w:rFonts w:hint="eastAsia" w:ascii="仿宋" w:hAnsi="仿宋" w:eastAsia="仿宋"/>
          <w:bCs/>
          <w:color w:val="000000" w:themeColor="text1"/>
          <w:sz w:val="24"/>
          <w:szCs w:val="24"/>
        </w:rPr>
        <w:t xml:space="preserve"> 知识产权</w:t>
      </w:r>
      <w:bookmarkEnd w:id="93"/>
    </w:p>
    <w:p>
      <w:pPr>
        <w:pStyle w:val="16"/>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t>1</w:t>
      </w:r>
      <w:r>
        <w:rPr>
          <w:rFonts w:hint="eastAsia" w:ascii="仿宋" w:hAnsi="仿宋" w:eastAsia="仿宋"/>
          <w:color w:val="000000" w:themeColor="text1"/>
          <w:sz w:val="24"/>
          <w:szCs w:val="24"/>
        </w:rPr>
        <w:t>2</w:t>
      </w:r>
      <w:r>
        <w:rPr>
          <w:rFonts w:ascii="仿宋" w:hAnsi="仿宋" w:eastAsia="仿宋"/>
          <w:color w:val="000000" w:themeColor="text1"/>
          <w:sz w:val="24"/>
          <w:szCs w:val="24"/>
        </w:rPr>
        <w:t>.1</w:t>
      </w:r>
      <w:r>
        <w:rPr>
          <w:rFonts w:hint="eastAsia" w:ascii="仿宋" w:hAnsi="仿宋" w:eastAsia="仿宋"/>
          <w:color w:val="000000" w:themeColor="text1"/>
          <w:sz w:val="24"/>
          <w:szCs w:val="24"/>
        </w:rPr>
        <w:t xml:space="preserve">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6"/>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t>1</w:t>
      </w:r>
      <w:r>
        <w:rPr>
          <w:rFonts w:hint="eastAsia" w:ascii="仿宋" w:hAnsi="仿宋" w:eastAsia="仿宋"/>
          <w:color w:val="000000" w:themeColor="text1"/>
          <w:sz w:val="24"/>
          <w:szCs w:val="24"/>
        </w:rPr>
        <w:t>2</w:t>
      </w:r>
      <w:r>
        <w:rPr>
          <w:rFonts w:ascii="仿宋" w:hAnsi="仿宋" w:eastAsia="仿宋"/>
          <w:color w:val="000000" w:themeColor="text1"/>
          <w:sz w:val="24"/>
          <w:szCs w:val="24"/>
        </w:rPr>
        <w:t>.2</w:t>
      </w:r>
      <w:r>
        <w:rPr>
          <w:rFonts w:hint="eastAsia" w:ascii="仿宋" w:hAnsi="仿宋" w:eastAsia="仿宋"/>
          <w:color w:val="000000" w:themeColor="text1"/>
          <w:sz w:val="24"/>
          <w:szCs w:val="24"/>
        </w:rPr>
        <w:t xml:space="preserve"> 招标人享有本项目实施过程中产生的知识成果及知识产权。</w:t>
      </w:r>
    </w:p>
    <w:p>
      <w:pPr>
        <w:spacing w:line="400" w:lineRule="exact"/>
        <w:ind w:firstLine="480" w:firstLineChars="200"/>
        <w:rPr>
          <w:rFonts w:ascii="仿宋" w:hAnsi="仿宋" w:eastAsia="仿宋"/>
          <w:color w:val="000000" w:themeColor="text1"/>
          <w:sz w:val="24"/>
        </w:rPr>
      </w:pPr>
      <w:r>
        <w:rPr>
          <w:rFonts w:ascii="仿宋" w:hAnsi="仿宋" w:eastAsia="仿宋"/>
          <w:color w:val="000000" w:themeColor="text1"/>
          <w:sz w:val="24"/>
        </w:rPr>
        <w:t>1</w:t>
      </w:r>
      <w:r>
        <w:rPr>
          <w:rFonts w:hint="eastAsia" w:ascii="仿宋" w:hAnsi="仿宋" w:eastAsia="仿宋"/>
          <w:color w:val="000000" w:themeColor="text1"/>
          <w:sz w:val="24"/>
        </w:rPr>
        <w:t>2</w:t>
      </w:r>
      <w:r>
        <w:rPr>
          <w:rFonts w:ascii="仿宋" w:hAnsi="仿宋" w:eastAsia="仿宋"/>
          <w:color w:val="000000" w:themeColor="text1"/>
          <w:sz w:val="24"/>
        </w:rPr>
        <w:t>.3</w:t>
      </w:r>
      <w:r>
        <w:rPr>
          <w:rFonts w:hint="eastAsia" w:ascii="仿宋" w:hAnsi="仿宋" w:eastAsia="仿宋"/>
          <w:color w:val="000000" w:themeColor="text1"/>
          <w:sz w:val="24"/>
        </w:rPr>
        <w:t xml:space="preserve"> 投标人如欲在项目实施过程中采用自有知识成果，需在投标文件中声明，并提供相关知识产权证明文件。</w:t>
      </w:r>
    </w:p>
    <w:p>
      <w:pPr>
        <w:spacing w:line="400" w:lineRule="exact"/>
        <w:ind w:firstLine="460" w:firstLineChars="192"/>
        <w:rPr>
          <w:rFonts w:ascii="仿宋" w:hAnsi="仿宋" w:eastAsia="仿宋"/>
          <w:color w:val="000000" w:themeColor="text1"/>
          <w:sz w:val="24"/>
        </w:rPr>
      </w:pPr>
      <w:r>
        <w:rPr>
          <w:rFonts w:ascii="仿宋" w:hAnsi="仿宋" w:eastAsia="仿宋"/>
          <w:color w:val="000000" w:themeColor="text1"/>
          <w:sz w:val="24"/>
        </w:rPr>
        <w:t>1</w:t>
      </w:r>
      <w:r>
        <w:rPr>
          <w:rFonts w:hint="eastAsia" w:ascii="仿宋" w:hAnsi="仿宋" w:eastAsia="仿宋"/>
          <w:color w:val="000000" w:themeColor="text1"/>
          <w:sz w:val="24"/>
        </w:rPr>
        <w:t>2</w:t>
      </w:r>
      <w:r>
        <w:rPr>
          <w:rFonts w:ascii="仿宋" w:hAnsi="仿宋" w:eastAsia="仿宋"/>
          <w:color w:val="000000" w:themeColor="text1"/>
          <w:sz w:val="24"/>
        </w:rPr>
        <w:t>.4</w:t>
      </w:r>
      <w:r>
        <w:rPr>
          <w:rFonts w:hint="eastAsia" w:ascii="仿宋" w:hAnsi="仿宋" w:eastAsia="仿宋"/>
          <w:color w:val="000000" w:themeColor="text1"/>
          <w:sz w:val="24"/>
        </w:rPr>
        <w:t xml:space="preserve"> 如采用投标人所不拥有的知识产权，则在投标报价中必须包括合法获取该知识产权的相关费用。 </w:t>
      </w:r>
    </w:p>
    <w:p>
      <w:pPr>
        <w:pStyle w:val="4"/>
        <w:spacing w:line="400" w:lineRule="exact"/>
        <w:ind w:firstLine="482" w:firstLineChars="200"/>
        <w:rPr>
          <w:rFonts w:ascii="仿宋" w:hAnsi="仿宋" w:eastAsia="仿宋"/>
          <w:color w:val="000000" w:themeColor="text1"/>
          <w:sz w:val="24"/>
        </w:rPr>
      </w:pPr>
      <w:bookmarkStart w:id="94" w:name="_Toc217446048"/>
      <w:bookmarkStart w:id="95" w:name="_Toc183582217"/>
      <w:bookmarkStart w:id="96" w:name="_Toc183682354"/>
      <w:r>
        <w:rPr>
          <w:rFonts w:hint="eastAsia" w:ascii="仿宋" w:hAnsi="仿宋" w:eastAsia="仿宋"/>
          <w:color w:val="000000" w:themeColor="text1"/>
          <w:sz w:val="24"/>
        </w:rPr>
        <w:t>13．投标文件的组成</w:t>
      </w:r>
      <w:bookmarkEnd w:id="94"/>
      <w:bookmarkEnd w:id="95"/>
      <w:bookmarkEnd w:id="96"/>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投标人应按照招标文件的规定和要求编制投标文件。投标人拟在中标后将中标项目的非主体、非关键性工作交由他人完成的，应当在投标文件中载明。投标人编写的投标文件应包括下列部分：</w:t>
      </w:r>
    </w:p>
    <w:p>
      <w:pPr>
        <w:spacing w:line="400" w:lineRule="exact"/>
        <w:ind w:firstLine="472" w:firstLineChars="196"/>
        <w:rPr>
          <w:rFonts w:ascii="仿宋" w:hAnsi="仿宋" w:eastAsia="仿宋"/>
          <w:color w:val="000000" w:themeColor="text1"/>
          <w:sz w:val="24"/>
        </w:rPr>
      </w:pPr>
      <w:r>
        <w:rPr>
          <w:rFonts w:hint="eastAsia" w:ascii="仿宋" w:hAnsi="仿宋" w:eastAsia="仿宋"/>
          <w:b/>
          <w:color w:val="000000" w:themeColor="text1"/>
          <w:sz w:val="24"/>
        </w:rPr>
        <w:t>13.1 报价部分。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按照招标文件要求填写的“开标一览表”及“报价明细表”。 本次招标报价要求：</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（1）投标人的报价是投标人响应招标项目要求的全部工作内容的价格体现，包括投标人完成本项目所需的一切费用。</w:t>
      </w:r>
    </w:p>
    <w:p>
      <w:pPr>
        <w:spacing w:line="400" w:lineRule="exact"/>
        <w:ind w:left="2" w:firstLine="352" w:firstLineChars="147"/>
        <w:rPr>
          <w:rFonts w:ascii="仿宋" w:hAnsi="仿宋" w:eastAsia="仿宋"/>
          <w:color w:val="000000" w:themeColor="text1"/>
          <w:sz w:val="24"/>
        </w:rPr>
      </w:pPr>
      <w:r>
        <w:rPr>
          <w:rFonts w:hint="eastAsia" w:ascii="仿宋" w:hAnsi="仿宋" w:eastAsia="仿宋"/>
          <w:color w:val="000000" w:themeColor="text1"/>
          <w:sz w:val="24"/>
        </w:rPr>
        <w:t xml:space="preserve"> （2）投标人每种货物只允许有一个报价，并且在合同履行过程中是固定不变的，任何有选择或可调整的报价将不予接受，并按无效投标处理。</w:t>
      </w:r>
    </w:p>
    <w:p>
      <w:pPr>
        <w:spacing w:line="400" w:lineRule="exact"/>
        <w:ind w:firstLine="482" w:firstLineChars="200"/>
        <w:rPr>
          <w:rFonts w:ascii="仿宋" w:hAnsi="仿宋" w:eastAsia="仿宋"/>
          <w:b/>
          <w:bCs/>
          <w:color w:val="000000" w:themeColor="text1"/>
          <w:sz w:val="24"/>
        </w:rPr>
      </w:pPr>
      <w:r>
        <w:rPr>
          <w:rFonts w:hint="eastAsia" w:ascii="仿宋" w:hAnsi="仿宋" w:eastAsia="仿宋"/>
          <w:b/>
          <w:bCs/>
          <w:color w:val="000000" w:themeColor="text1"/>
          <w:sz w:val="24"/>
        </w:rPr>
        <w:t>13.2 技术部分。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按照招标文件要求做出的技术应答，主要是针对招标项目的技术指标、参数和技术要求做出的实质性响应和满足。</w:t>
      </w:r>
    </w:p>
    <w:p>
      <w:pPr>
        <w:spacing w:line="400" w:lineRule="exact"/>
        <w:ind w:firstLine="472" w:firstLineChars="196"/>
        <w:rPr>
          <w:rFonts w:ascii="仿宋" w:hAnsi="仿宋" w:eastAsia="仿宋"/>
          <w:color w:val="000000" w:themeColor="text1"/>
          <w:sz w:val="24"/>
        </w:rPr>
      </w:pPr>
      <w:r>
        <w:rPr>
          <w:rFonts w:hint="eastAsia" w:ascii="仿宋" w:hAnsi="仿宋" w:eastAsia="仿宋"/>
          <w:b/>
          <w:bCs/>
          <w:color w:val="000000" w:themeColor="text1"/>
          <w:sz w:val="24"/>
        </w:rPr>
        <w:t>13.3 商务部分。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按照招标文件要求提供的有关资质证明文件及优惠承诺。包括以下内容：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（1）投标函；</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（2）投标人企业法人营业执照副本、税务登记证副本复印件；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（3）投标人组织机构代码证复印件；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（4）法定代表人授权书原件；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（5）证明投标人业绩和荣誉的有关材料；</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（6）商务/技术条款偏离表；</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（7）其他投标人认为需要提供的文件和资料。</w:t>
      </w:r>
    </w:p>
    <w:p>
      <w:pPr>
        <w:spacing w:line="400" w:lineRule="exact"/>
        <w:ind w:firstLine="540" w:firstLineChars="225"/>
        <w:rPr>
          <w:rFonts w:ascii="仿宋" w:hAnsi="仿宋" w:eastAsia="仿宋"/>
          <w:color w:val="000000" w:themeColor="text1"/>
          <w:sz w:val="24"/>
        </w:rPr>
      </w:pPr>
    </w:p>
    <w:p>
      <w:pPr>
        <w:spacing w:line="400" w:lineRule="exact"/>
        <w:ind w:left="3" w:leftChars="1" w:firstLine="482" w:firstLineChars="200"/>
        <w:rPr>
          <w:rFonts w:ascii="仿宋" w:hAnsi="仿宋" w:eastAsia="仿宋"/>
          <w:bCs/>
          <w:color w:val="000000" w:themeColor="text1"/>
          <w:sz w:val="24"/>
        </w:rPr>
      </w:pPr>
      <w:r>
        <w:rPr>
          <w:rFonts w:hint="eastAsia" w:ascii="仿宋" w:hAnsi="仿宋" w:eastAsia="仿宋"/>
          <w:b/>
          <w:bCs/>
          <w:color w:val="000000" w:themeColor="text1"/>
          <w:sz w:val="24"/>
        </w:rPr>
        <w:t>13.4 售后服务。</w:t>
      </w:r>
      <w:r>
        <w:rPr>
          <w:rFonts w:hint="eastAsia" w:ascii="仿宋" w:hAnsi="仿宋" w:eastAsia="仿宋"/>
          <w:bCs/>
          <w:color w:val="000000" w:themeColor="text1"/>
          <w:sz w:val="24"/>
        </w:rPr>
        <w:t>投标人按照招标文件中售后服务要求作出的积极响应和承诺。包括以下内容：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（1）产品制造厂家或投标人设立的售后服务机构网点清单（如有）、服务电话和维修人员名单（加盖公章）；</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（2）说明投标产品的保修时间、保修期内的保修内容与范围、维修响应时间等。分别提供产品制造厂家和投标人的服务承诺和保障措施；</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（3）售后维修：说明维修内容及收费标准和办法；</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（4）其他有利于用户的服务承诺。</w:t>
      </w:r>
    </w:p>
    <w:bookmarkEnd w:id="61"/>
    <w:p>
      <w:pPr>
        <w:pStyle w:val="4"/>
        <w:tabs>
          <w:tab w:val="left" w:pos="3480"/>
        </w:tabs>
        <w:spacing w:line="400" w:lineRule="exact"/>
        <w:ind w:firstLine="482" w:firstLineChars="200"/>
        <w:rPr>
          <w:rFonts w:ascii="仿宋" w:hAnsi="仿宋" w:eastAsia="仿宋"/>
          <w:color w:val="000000" w:themeColor="text1"/>
          <w:sz w:val="24"/>
        </w:rPr>
      </w:pPr>
      <w:bookmarkStart w:id="97" w:name="_Toc217446049"/>
      <w:bookmarkStart w:id="98" w:name="_Toc183582218"/>
      <w:bookmarkStart w:id="99" w:name="_Toc183682355"/>
      <w:bookmarkStart w:id="100" w:name="PO_默认文件内容_20"/>
      <w:r>
        <w:rPr>
          <w:rFonts w:hint="eastAsia" w:ascii="仿宋" w:hAnsi="仿宋" w:eastAsia="仿宋"/>
          <w:color w:val="000000" w:themeColor="text1"/>
          <w:sz w:val="24"/>
        </w:rPr>
        <w:t>14．投标文件格式</w:t>
      </w:r>
      <w:bookmarkEnd w:id="97"/>
      <w:bookmarkEnd w:id="98"/>
      <w:bookmarkEnd w:id="99"/>
      <w:r>
        <w:rPr>
          <w:rFonts w:ascii="仿宋" w:hAnsi="仿宋" w:eastAsia="仿宋"/>
          <w:color w:val="000000" w:themeColor="text1"/>
          <w:sz w:val="24"/>
        </w:rPr>
        <w:tab/>
      </w:r>
    </w:p>
    <w:p>
      <w:pPr>
        <w:tabs>
          <w:tab w:val="left" w:pos="7665"/>
        </w:tabs>
        <w:spacing w:line="400" w:lineRule="exact"/>
        <w:ind w:left="20" w:leftChars="6" w:firstLine="480" w:firstLineChars="200"/>
        <w:rPr>
          <w:rFonts w:ascii="仿宋" w:hAnsi="仿宋" w:eastAsia="仿宋"/>
          <w:color w:val="000000" w:themeColor="text1"/>
          <w:sz w:val="24"/>
        </w:rPr>
      </w:pPr>
      <w:r>
        <w:rPr>
          <w:rFonts w:hint="eastAsia" w:ascii="仿宋" w:hAnsi="仿宋" w:eastAsia="仿宋"/>
          <w:color w:val="000000" w:themeColor="text1"/>
          <w:sz w:val="24"/>
        </w:rPr>
        <w:t>14.1 投标人应严格按照招标文件第三章中提供的“投标文件格式”填写相关内容。除明确允许投标人可以自行编写的外，投标人不得以“投标文件格式”规定之外的方式填写相关内容。</w:t>
      </w:r>
    </w:p>
    <w:p>
      <w:pPr>
        <w:tabs>
          <w:tab w:val="left" w:pos="7665"/>
        </w:tabs>
        <w:spacing w:line="400" w:lineRule="exact"/>
        <w:ind w:left="20" w:leftChars="6" w:firstLine="480" w:firstLineChars="200"/>
        <w:rPr>
          <w:rFonts w:ascii="仿宋" w:hAnsi="仿宋" w:eastAsia="仿宋"/>
          <w:color w:val="000000" w:themeColor="text1"/>
          <w:sz w:val="24"/>
        </w:rPr>
      </w:pPr>
      <w:r>
        <w:rPr>
          <w:rFonts w:hint="eastAsia" w:ascii="仿宋" w:hAnsi="仿宋" w:eastAsia="仿宋"/>
          <w:color w:val="000000" w:themeColor="text1"/>
          <w:sz w:val="24"/>
        </w:rPr>
        <w:t>14.2 对于没有格式要求的投标文件由投标人自行编写。</w:t>
      </w:r>
    </w:p>
    <w:p>
      <w:pPr>
        <w:pStyle w:val="4"/>
        <w:spacing w:line="400" w:lineRule="exact"/>
        <w:ind w:firstLine="482" w:firstLineChars="200"/>
        <w:rPr>
          <w:rFonts w:ascii="仿宋" w:hAnsi="仿宋" w:eastAsia="仿宋"/>
          <w:bCs/>
          <w:color w:val="000000" w:themeColor="text1"/>
          <w:sz w:val="24"/>
        </w:rPr>
      </w:pPr>
      <w:bookmarkStart w:id="101" w:name="_Toc183682360"/>
      <w:bookmarkStart w:id="102" w:name="_Toc183582223"/>
      <w:bookmarkStart w:id="103" w:name="_Toc217446050"/>
      <w:r>
        <w:rPr>
          <w:rFonts w:hint="eastAsia" w:ascii="仿宋" w:hAnsi="仿宋" w:eastAsia="仿宋"/>
          <w:bCs/>
          <w:color w:val="000000" w:themeColor="text1"/>
          <w:sz w:val="24"/>
        </w:rPr>
        <w:t>15．投标保证金</w:t>
      </w:r>
      <w:bookmarkEnd w:id="101"/>
      <w:bookmarkEnd w:id="102"/>
      <w:bookmarkEnd w:id="103"/>
    </w:p>
    <w:p>
      <w:pPr>
        <w:spacing w:line="400" w:lineRule="exact"/>
        <w:ind w:left="793" w:leftChars="225" w:hanging="28" w:hangingChars="12"/>
        <w:rPr>
          <w:rFonts w:ascii="仿宋" w:hAnsi="仿宋" w:eastAsia="仿宋"/>
          <w:color w:val="000000" w:themeColor="text1"/>
          <w:sz w:val="24"/>
        </w:rPr>
      </w:pPr>
      <w:r>
        <w:rPr>
          <w:rFonts w:hint="eastAsia" w:ascii="仿宋" w:hAnsi="仿宋" w:eastAsia="仿宋"/>
          <w:color w:val="000000" w:themeColor="text1"/>
          <w:sz w:val="24"/>
        </w:rPr>
        <w:t>本次招标不设立投标保证金。</w:t>
      </w:r>
    </w:p>
    <w:p>
      <w:pPr>
        <w:pStyle w:val="4"/>
        <w:spacing w:line="400" w:lineRule="exact"/>
        <w:ind w:firstLine="482" w:firstLineChars="200"/>
        <w:rPr>
          <w:rFonts w:ascii="仿宋" w:hAnsi="仿宋" w:eastAsia="仿宋"/>
          <w:bCs/>
          <w:color w:val="000000" w:themeColor="text1"/>
          <w:sz w:val="24"/>
        </w:rPr>
      </w:pPr>
      <w:bookmarkStart w:id="104" w:name="_Toc217446051"/>
      <w:bookmarkStart w:id="105" w:name="_Toc183582224"/>
      <w:bookmarkStart w:id="106" w:name="_Toc183682361"/>
      <w:r>
        <w:rPr>
          <w:rFonts w:hint="eastAsia" w:ascii="仿宋" w:hAnsi="仿宋" w:eastAsia="仿宋"/>
          <w:bCs/>
          <w:color w:val="000000" w:themeColor="text1"/>
          <w:sz w:val="24"/>
        </w:rPr>
        <w:t>16．投标有效期</w:t>
      </w:r>
      <w:bookmarkEnd w:id="104"/>
      <w:bookmarkEnd w:id="105"/>
      <w:bookmarkEnd w:id="106"/>
    </w:p>
    <w:p>
      <w:pPr>
        <w:tabs>
          <w:tab w:val="left" w:pos="7665"/>
        </w:tabs>
        <w:spacing w:line="400" w:lineRule="exact"/>
        <w:ind w:left="20" w:leftChars="6" w:firstLine="480" w:firstLineChars="200"/>
        <w:rPr>
          <w:rFonts w:ascii="仿宋" w:hAnsi="仿宋" w:eastAsia="仿宋"/>
          <w:color w:val="000000" w:themeColor="text1"/>
          <w:sz w:val="24"/>
        </w:rPr>
      </w:pPr>
      <w:r>
        <w:rPr>
          <w:rFonts w:hint="eastAsia" w:ascii="仿宋" w:hAnsi="仿宋" w:eastAsia="仿宋"/>
          <w:color w:val="000000" w:themeColor="text1"/>
          <w:sz w:val="24"/>
        </w:rPr>
        <w:t>16</w:t>
      </w:r>
      <w:r>
        <w:rPr>
          <w:rFonts w:ascii="仿宋" w:hAnsi="仿宋" w:eastAsia="仿宋"/>
          <w:color w:val="000000" w:themeColor="text1"/>
          <w:sz w:val="24"/>
        </w:rPr>
        <w:t>.</w:t>
      </w:r>
      <w:r>
        <w:rPr>
          <w:rFonts w:hint="eastAsia" w:ascii="仿宋" w:hAnsi="仿宋" w:eastAsia="仿宋"/>
          <w:color w:val="000000" w:themeColor="text1"/>
          <w:sz w:val="24"/>
        </w:rPr>
        <w:t>1 投标有效期见投标人须知前附表。投标有效期短于此规定期限的投标，将被拒绝。</w:t>
      </w:r>
    </w:p>
    <w:p>
      <w:pPr>
        <w:tabs>
          <w:tab w:val="left" w:pos="7665"/>
        </w:tabs>
        <w:spacing w:line="400" w:lineRule="exact"/>
        <w:ind w:left="20" w:leftChars="6" w:firstLine="360" w:firstLineChars="150"/>
        <w:rPr>
          <w:rFonts w:ascii="仿宋" w:hAnsi="仿宋" w:eastAsia="仿宋"/>
          <w:color w:val="000000" w:themeColor="text1"/>
          <w:sz w:val="24"/>
        </w:rPr>
      </w:pPr>
      <w:r>
        <w:rPr>
          <w:rFonts w:hint="eastAsia" w:ascii="仿宋" w:hAnsi="仿宋" w:eastAsia="仿宋"/>
          <w:color w:val="000000" w:themeColor="text1"/>
          <w:sz w:val="24"/>
        </w:rPr>
        <w:t xml:space="preserve"> 16</w:t>
      </w:r>
      <w:r>
        <w:rPr>
          <w:rFonts w:ascii="仿宋" w:hAnsi="仿宋" w:eastAsia="仿宋"/>
          <w:color w:val="000000" w:themeColor="text1"/>
          <w:sz w:val="24"/>
        </w:rPr>
        <w:t>.</w:t>
      </w:r>
      <w:r>
        <w:rPr>
          <w:rFonts w:hint="eastAsia" w:ascii="仿宋" w:hAnsi="仿宋" w:eastAsia="仿宋"/>
          <w:color w:val="000000" w:themeColor="text1"/>
          <w:sz w:val="24"/>
        </w:rPr>
        <w:t>2 特殊情况下，招标人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p>
    <w:p>
      <w:pPr>
        <w:pStyle w:val="4"/>
        <w:spacing w:line="400" w:lineRule="exact"/>
        <w:ind w:firstLine="482" w:firstLineChars="200"/>
        <w:rPr>
          <w:rFonts w:ascii="仿宋" w:hAnsi="仿宋" w:eastAsia="仿宋"/>
          <w:bCs/>
          <w:color w:val="000000" w:themeColor="text1"/>
          <w:sz w:val="24"/>
        </w:rPr>
      </w:pPr>
      <w:bookmarkStart w:id="107" w:name="_Toc183682362"/>
      <w:bookmarkStart w:id="108" w:name="_Toc183582225"/>
      <w:bookmarkStart w:id="109" w:name="_Toc217446052"/>
      <w:r>
        <w:rPr>
          <w:rFonts w:hint="eastAsia" w:ascii="仿宋" w:hAnsi="仿宋" w:eastAsia="仿宋"/>
          <w:bCs/>
          <w:color w:val="000000" w:themeColor="text1"/>
          <w:sz w:val="24"/>
        </w:rPr>
        <w:t>17．投标文件的印制和签署</w:t>
      </w:r>
      <w:bookmarkEnd w:id="107"/>
      <w:bookmarkEnd w:id="108"/>
      <w:bookmarkEnd w:id="109"/>
    </w:p>
    <w:p>
      <w:pPr>
        <w:tabs>
          <w:tab w:val="left" w:pos="1080"/>
        </w:tabs>
        <w:spacing w:line="400" w:lineRule="exact"/>
        <w:ind w:firstLine="460" w:firstLineChars="192"/>
        <w:rPr>
          <w:rFonts w:ascii="仿宋" w:hAnsi="仿宋" w:eastAsia="仿宋"/>
          <w:color w:val="000000" w:themeColor="text1"/>
          <w:sz w:val="24"/>
        </w:rPr>
      </w:pPr>
      <w:r>
        <w:rPr>
          <w:rFonts w:hint="eastAsia" w:ascii="仿宋" w:hAnsi="仿宋" w:eastAsia="仿宋"/>
          <w:color w:val="000000" w:themeColor="text1"/>
          <w:sz w:val="24"/>
        </w:rPr>
        <w:t>17</w:t>
      </w:r>
      <w:r>
        <w:rPr>
          <w:rFonts w:ascii="仿宋" w:hAnsi="仿宋" w:eastAsia="仿宋"/>
          <w:color w:val="000000" w:themeColor="text1"/>
          <w:sz w:val="24"/>
        </w:rPr>
        <w:t>.</w:t>
      </w:r>
      <w:r>
        <w:rPr>
          <w:rFonts w:hint="eastAsia" w:ascii="仿宋" w:hAnsi="仿宋" w:eastAsia="仿宋"/>
          <w:color w:val="000000" w:themeColor="text1"/>
          <w:sz w:val="24"/>
        </w:rPr>
        <w:t>1 投标人应按“投标须知前附表”准备投标文件正本、副本、开标一览表。投标文件的正本和副本应在其封面右上角清楚地标明“正本”或“副本”字样。若正本和副本有不一致的内容，以正本书面投标文件为准。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ascii="仿宋" w:hAnsi="仿宋" w:eastAsia="仿宋"/>
          <w:color w:val="000000" w:themeColor="text1"/>
          <w:sz w:val="24"/>
        </w:rPr>
      </w:pPr>
      <w:r>
        <w:rPr>
          <w:rFonts w:hint="eastAsia" w:ascii="仿宋" w:hAnsi="仿宋" w:eastAsia="仿宋"/>
          <w:color w:val="000000" w:themeColor="text1"/>
          <w:sz w:val="24"/>
        </w:rPr>
        <w:t>17.2 投标文件的正本和副本均需打印或用不褪色、不变质的墨水书写，并由投标人的法定代表人或其授权代表在规定签章处签字和盖章。投标文件副本可采用正本的复印件。用于开标唱标单独提交的“开标一览表”（一式一份）应为原件。</w:t>
      </w:r>
    </w:p>
    <w:p>
      <w:pPr>
        <w:tabs>
          <w:tab w:val="left" w:pos="1095"/>
        </w:tabs>
        <w:spacing w:line="400" w:lineRule="exact"/>
        <w:ind w:firstLine="460" w:firstLineChars="192"/>
        <w:rPr>
          <w:rFonts w:ascii="仿宋" w:hAnsi="仿宋" w:eastAsia="仿宋"/>
          <w:color w:val="000000" w:themeColor="text1"/>
          <w:sz w:val="24"/>
        </w:rPr>
      </w:pPr>
      <w:r>
        <w:rPr>
          <w:rFonts w:hint="eastAsia" w:ascii="仿宋" w:hAnsi="仿宋" w:eastAsia="仿宋"/>
          <w:color w:val="000000" w:themeColor="text1"/>
          <w:sz w:val="24"/>
        </w:rPr>
        <w:t>17.3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00" w:lineRule="exact"/>
        <w:ind w:firstLine="460" w:firstLineChars="192"/>
        <w:rPr>
          <w:rFonts w:ascii="仿宋" w:hAnsi="仿宋" w:eastAsia="仿宋"/>
          <w:color w:val="000000" w:themeColor="text1"/>
          <w:sz w:val="24"/>
        </w:rPr>
      </w:pPr>
      <w:r>
        <w:rPr>
          <w:rFonts w:hint="eastAsia" w:ascii="仿宋" w:hAnsi="仿宋" w:eastAsia="仿宋"/>
          <w:color w:val="000000" w:themeColor="text1"/>
          <w:sz w:val="24"/>
        </w:rPr>
        <w:t>17.4 投标文件正本和副本必须装订成册并编码。</w:t>
      </w:r>
    </w:p>
    <w:p>
      <w:pPr>
        <w:tabs>
          <w:tab w:val="left" w:pos="1080"/>
        </w:tabs>
        <w:spacing w:line="400" w:lineRule="exact"/>
        <w:ind w:firstLine="460" w:firstLineChars="192"/>
        <w:rPr>
          <w:rFonts w:ascii="仿宋" w:hAnsi="仿宋" w:eastAsia="仿宋"/>
          <w:color w:val="000000" w:themeColor="text1"/>
          <w:sz w:val="24"/>
        </w:rPr>
      </w:pPr>
      <w:r>
        <w:rPr>
          <w:rFonts w:hint="eastAsia" w:ascii="仿宋" w:hAnsi="仿宋" w:eastAsia="仿宋"/>
          <w:color w:val="000000" w:themeColor="text1"/>
          <w:sz w:val="24"/>
        </w:rPr>
        <w:t>17.5 投标文件应根据招标文件的要求制作，签署、盖章和内容应完整。</w:t>
      </w:r>
    </w:p>
    <w:p>
      <w:pPr>
        <w:tabs>
          <w:tab w:val="left" w:pos="1080"/>
        </w:tabs>
        <w:spacing w:line="400" w:lineRule="exact"/>
        <w:ind w:firstLine="460" w:firstLineChars="192"/>
        <w:rPr>
          <w:rFonts w:ascii="仿宋" w:hAnsi="仿宋" w:eastAsia="仿宋"/>
          <w:color w:val="000000" w:themeColor="text1"/>
          <w:sz w:val="24"/>
        </w:rPr>
      </w:pPr>
      <w:r>
        <w:rPr>
          <w:rFonts w:hint="eastAsia" w:ascii="仿宋" w:hAnsi="仿宋" w:eastAsia="仿宋"/>
          <w:color w:val="000000" w:themeColor="text1"/>
          <w:sz w:val="24"/>
        </w:rPr>
        <w:t>17.6 投标文件统一用</w:t>
      </w:r>
      <w:r>
        <w:rPr>
          <w:rFonts w:ascii="仿宋" w:hAnsi="仿宋" w:eastAsia="仿宋"/>
          <w:color w:val="000000" w:themeColor="text1"/>
          <w:sz w:val="24"/>
        </w:rPr>
        <w:t>A4</w:t>
      </w:r>
      <w:r>
        <w:rPr>
          <w:rFonts w:hint="eastAsia" w:ascii="仿宋" w:hAnsi="仿宋" w:eastAsia="仿宋"/>
          <w:color w:val="000000" w:themeColor="text1"/>
          <w:sz w:val="24"/>
        </w:rPr>
        <w:t>幅面纸印制。</w:t>
      </w:r>
    </w:p>
    <w:p>
      <w:pPr>
        <w:pStyle w:val="4"/>
        <w:spacing w:line="400" w:lineRule="exact"/>
        <w:ind w:firstLine="482" w:firstLineChars="200"/>
        <w:rPr>
          <w:rFonts w:ascii="仿宋" w:hAnsi="仿宋" w:eastAsia="仿宋"/>
          <w:color w:val="000000" w:themeColor="text1"/>
          <w:sz w:val="24"/>
          <w:szCs w:val="24"/>
        </w:rPr>
      </w:pPr>
      <w:bookmarkStart w:id="110" w:name="_Toc183582226"/>
      <w:bookmarkStart w:id="111" w:name="_Toc89075877"/>
      <w:bookmarkStart w:id="112" w:name="_Toc183682363"/>
      <w:bookmarkStart w:id="113" w:name="_Toc77400781"/>
      <w:bookmarkStart w:id="114" w:name="_Toc217446053"/>
      <w:r>
        <w:rPr>
          <w:rFonts w:hint="eastAsia" w:ascii="仿宋" w:hAnsi="仿宋" w:eastAsia="仿宋"/>
          <w:bCs/>
          <w:color w:val="000000" w:themeColor="text1"/>
          <w:sz w:val="24"/>
          <w:szCs w:val="24"/>
        </w:rPr>
        <w:t xml:space="preserve">18. </w:t>
      </w:r>
      <w:r>
        <w:rPr>
          <w:rFonts w:hint="eastAsia" w:ascii="仿宋" w:hAnsi="仿宋" w:eastAsia="仿宋"/>
          <w:color w:val="000000" w:themeColor="text1"/>
          <w:sz w:val="24"/>
          <w:szCs w:val="24"/>
        </w:rPr>
        <w:t>投标文件的密封和标</w:t>
      </w:r>
      <w:bookmarkEnd w:id="110"/>
      <w:bookmarkEnd w:id="111"/>
      <w:bookmarkEnd w:id="112"/>
      <w:bookmarkEnd w:id="113"/>
      <w:r>
        <w:rPr>
          <w:rFonts w:hint="eastAsia" w:ascii="仿宋" w:hAnsi="仿宋" w:eastAsia="仿宋"/>
          <w:color w:val="000000" w:themeColor="text1"/>
          <w:sz w:val="24"/>
          <w:szCs w:val="24"/>
        </w:rPr>
        <w:t>注</w:t>
      </w:r>
      <w:bookmarkEnd w:id="114"/>
    </w:p>
    <w:p>
      <w:pPr>
        <w:tabs>
          <w:tab w:val="left" w:pos="1080"/>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18.1 投标人应在投标文件正本和所有副本的封面上注明投标人名称、招标编号、项目名称及分包号（如有分包）。</w:t>
      </w:r>
    </w:p>
    <w:p>
      <w:pPr>
        <w:tabs>
          <w:tab w:val="left" w:pos="1080"/>
        </w:tabs>
        <w:spacing w:line="400" w:lineRule="exact"/>
        <w:ind w:firstLine="460" w:firstLineChars="192"/>
        <w:rPr>
          <w:rFonts w:ascii="仿宋" w:hAnsi="仿宋" w:eastAsia="仿宋"/>
          <w:color w:val="000000" w:themeColor="text1"/>
          <w:sz w:val="24"/>
        </w:rPr>
      </w:pPr>
      <w:r>
        <w:rPr>
          <w:rFonts w:hint="eastAsia" w:ascii="仿宋" w:hAnsi="仿宋" w:eastAsia="仿宋"/>
          <w:color w:val="000000" w:themeColor="text1"/>
          <w:sz w:val="24"/>
        </w:rPr>
        <w:t>18.2 投标文件正本、所有副本和招标文件要求单独提交的“开标一览表”（一式一份），应分别封装于不同的密封袋内，密封袋上应分别标上“正本”、“副本”、“开标一览表”字样，并注明投标人名称、招标编号、项目名称及分包号（如有分包）。</w:t>
      </w:r>
    </w:p>
    <w:p>
      <w:pPr>
        <w:tabs>
          <w:tab w:val="left" w:pos="1080"/>
        </w:tabs>
        <w:spacing w:line="400" w:lineRule="exact"/>
        <w:ind w:firstLine="460" w:firstLineChars="192"/>
        <w:rPr>
          <w:rFonts w:ascii="仿宋" w:hAnsi="仿宋" w:eastAsia="仿宋"/>
          <w:color w:val="000000" w:themeColor="text1"/>
          <w:sz w:val="24"/>
        </w:rPr>
      </w:pPr>
      <w:r>
        <w:rPr>
          <w:rFonts w:hint="eastAsia" w:ascii="仿宋" w:hAnsi="仿宋" w:eastAsia="仿宋"/>
          <w:color w:val="000000" w:themeColor="text1"/>
          <w:sz w:val="24"/>
        </w:rPr>
        <w:t>18.3 所有外层密封袋的封口处应粘贴牢固，并加盖密封章（投标人印章）。</w:t>
      </w:r>
    </w:p>
    <w:p>
      <w:pPr>
        <w:pStyle w:val="4"/>
        <w:spacing w:line="400" w:lineRule="exact"/>
        <w:ind w:firstLine="482" w:firstLineChars="200"/>
        <w:rPr>
          <w:rFonts w:ascii="仿宋" w:hAnsi="仿宋" w:eastAsia="仿宋"/>
          <w:bCs/>
          <w:color w:val="000000" w:themeColor="text1"/>
          <w:sz w:val="24"/>
          <w:szCs w:val="24"/>
        </w:rPr>
      </w:pPr>
      <w:bookmarkStart w:id="115" w:name="_Toc183582227"/>
      <w:bookmarkStart w:id="116" w:name="_Toc183682364"/>
      <w:bookmarkStart w:id="117" w:name="_Toc217446054"/>
      <w:r>
        <w:rPr>
          <w:rFonts w:hint="eastAsia" w:ascii="仿宋" w:hAnsi="仿宋" w:eastAsia="仿宋"/>
          <w:bCs/>
          <w:color w:val="000000" w:themeColor="text1"/>
          <w:sz w:val="24"/>
          <w:szCs w:val="24"/>
        </w:rPr>
        <w:t>19</w:t>
      </w:r>
      <w:r>
        <w:rPr>
          <w:rFonts w:hint="eastAsia" w:ascii="仿宋" w:hAnsi="仿宋" w:eastAsia="仿宋"/>
          <w:bCs/>
          <w:color w:val="000000" w:themeColor="text1"/>
          <w:sz w:val="28"/>
          <w:szCs w:val="28"/>
        </w:rPr>
        <w:t>．</w:t>
      </w:r>
      <w:r>
        <w:rPr>
          <w:rFonts w:hint="eastAsia" w:ascii="仿宋" w:hAnsi="仿宋" w:eastAsia="仿宋"/>
          <w:bCs/>
          <w:color w:val="000000" w:themeColor="text1"/>
          <w:sz w:val="24"/>
          <w:szCs w:val="24"/>
        </w:rPr>
        <w:t>投标文件的</w:t>
      </w:r>
      <w:bookmarkEnd w:id="115"/>
      <w:bookmarkEnd w:id="116"/>
      <w:r>
        <w:rPr>
          <w:rFonts w:hint="eastAsia" w:ascii="仿宋" w:hAnsi="仿宋" w:eastAsia="仿宋"/>
          <w:bCs/>
          <w:color w:val="000000" w:themeColor="text1"/>
          <w:sz w:val="24"/>
          <w:szCs w:val="24"/>
        </w:rPr>
        <w:t>递交</w:t>
      </w:r>
      <w:bookmarkEnd w:id="117"/>
    </w:p>
    <w:p>
      <w:pPr>
        <w:tabs>
          <w:tab w:val="left" w:pos="1095"/>
        </w:tabs>
        <w:spacing w:line="400" w:lineRule="exact"/>
        <w:ind w:firstLine="460" w:firstLineChars="192"/>
        <w:rPr>
          <w:rFonts w:ascii="仿宋" w:hAnsi="仿宋" w:eastAsia="仿宋"/>
          <w:color w:val="000000" w:themeColor="text1"/>
          <w:sz w:val="24"/>
        </w:rPr>
      </w:pPr>
      <w:r>
        <w:rPr>
          <w:rFonts w:hint="eastAsia" w:ascii="仿宋" w:hAnsi="仿宋" w:eastAsia="仿宋"/>
          <w:color w:val="000000" w:themeColor="text1"/>
          <w:sz w:val="24"/>
        </w:rPr>
        <w:t>19.1 投标人应在招标文件规定的投标截止时间前，将投标文件按投标须知规定密封后送达开标地点。投标截止时间以后送达的投标文件将被拒绝。</w:t>
      </w:r>
    </w:p>
    <w:p>
      <w:pPr>
        <w:pStyle w:val="5"/>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19.2 本次招标不接受邮寄的投标文件。</w:t>
      </w:r>
    </w:p>
    <w:p>
      <w:pPr>
        <w:pStyle w:val="4"/>
        <w:spacing w:line="400" w:lineRule="exact"/>
        <w:ind w:firstLine="482" w:firstLineChars="200"/>
        <w:rPr>
          <w:rFonts w:ascii="仿宋" w:hAnsi="仿宋" w:eastAsia="仿宋"/>
          <w:bCs/>
          <w:color w:val="000000" w:themeColor="text1"/>
          <w:spacing w:val="20"/>
          <w:sz w:val="24"/>
          <w:szCs w:val="24"/>
        </w:rPr>
      </w:pPr>
      <w:bookmarkStart w:id="118" w:name="_Toc183582228"/>
      <w:bookmarkStart w:id="119" w:name="_Toc183682365"/>
      <w:bookmarkStart w:id="120" w:name="_Toc217446055"/>
      <w:r>
        <w:rPr>
          <w:rFonts w:hint="eastAsia" w:ascii="仿宋" w:hAnsi="仿宋" w:eastAsia="仿宋"/>
          <w:bCs/>
          <w:color w:val="000000" w:themeColor="text1"/>
          <w:sz w:val="24"/>
        </w:rPr>
        <w:t>20．</w:t>
      </w:r>
      <w:r>
        <w:rPr>
          <w:rFonts w:hint="eastAsia" w:ascii="仿宋" w:hAnsi="仿宋" w:eastAsia="仿宋"/>
          <w:bCs/>
          <w:color w:val="000000" w:themeColor="text1"/>
          <w:spacing w:val="20"/>
          <w:sz w:val="24"/>
          <w:szCs w:val="24"/>
        </w:rPr>
        <w:t>投标文件的修改和撤</w:t>
      </w:r>
      <w:bookmarkEnd w:id="118"/>
      <w:bookmarkEnd w:id="119"/>
      <w:r>
        <w:rPr>
          <w:rFonts w:hint="eastAsia" w:ascii="仿宋" w:hAnsi="仿宋" w:eastAsia="仿宋"/>
          <w:bCs/>
          <w:color w:val="000000" w:themeColor="text1"/>
          <w:spacing w:val="20"/>
          <w:sz w:val="24"/>
          <w:szCs w:val="24"/>
        </w:rPr>
        <w:t>回</w:t>
      </w:r>
      <w:bookmarkEnd w:id="120"/>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20</w:t>
      </w:r>
      <w:r>
        <w:rPr>
          <w:rFonts w:ascii="仿宋" w:hAnsi="仿宋" w:eastAsia="仿宋"/>
          <w:color w:val="000000" w:themeColor="text1"/>
          <w:sz w:val="24"/>
        </w:rPr>
        <w:t>.</w:t>
      </w:r>
      <w:r>
        <w:rPr>
          <w:rFonts w:hint="eastAsia" w:ascii="仿宋" w:hAnsi="仿宋" w:eastAsia="仿宋"/>
          <w:color w:val="000000" w:themeColor="text1"/>
          <w:sz w:val="24"/>
        </w:rPr>
        <w:t>1 投标人在递交了投标文件后，可以修改或撤回其投标文件，但必须在规定的投标截止时间前，以书面形式通知招标人。</w:t>
      </w:r>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20</w:t>
      </w:r>
      <w:r>
        <w:rPr>
          <w:rFonts w:ascii="仿宋" w:hAnsi="仿宋" w:eastAsia="仿宋"/>
          <w:color w:val="000000" w:themeColor="text1"/>
          <w:sz w:val="24"/>
        </w:rPr>
        <w:t>.2</w:t>
      </w:r>
      <w:r>
        <w:rPr>
          <w:rFonts w:hint="eastAsia" w:ascii="仿宋" w:hAnsi="仿宋" w:eastAsia="仿宋"/>
          <w:color w:val="000000" w:themeColor="text1"/>
          <w:sz w:val="24"/>
        </w:rPr>
        <w:t xml:space="preserve"> 投标人的修改书或撤回通知书，应由其法定代表人或授权代表签署并盖单位印章。修改书应按投标须知规定进行密封和标注，并在密封袋上标注“修改”字样。</w:t>
      </w:r>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20</w:t>
      </w:r>
      <w:r>
        <w:rPr>
          <w:rFonts w:ascii="仿宋" w:hAnsi="仿宋" w:eastAsia="仿宋"/>
          <w:color w:val="000000" w:themeColor="text1"/>
          <w:sz w:val="24"/>
        </w:rPr>
        <w:t>.3</w:t>
      </w:r>
      <w:r>
        <w:rPr>
          <w:rFonts w:hint="eastAsia" w:ascii="仿宋" w:hAnsi="仿宋" w:eastAsia="仿宋"/>
          <w:color w:val="000000" w:themeColor="text1"/>
          <w:sz w:val="24"/>
        </w:rPr>
        <w:t xml:space="preserve"> 在投标截止时间之后，投标人不得对其递交的投标文件做任何修改或撤回投标。</w:t>
      </w:r>
    </w:p>
    <w:p>
      <w:pPr>
        <w:pStyle w:val="3"/>
        <w:spacing w:line="400" w:lineRule="exact"/>
        <w:jc w:val="center"/>
        <w:rPr>
          <w:rFonts w:ascii="仿宋" w:hAnsi="仿宋" w:eastAsia="仿宋"/>
          <w:color w:val="000000" w:themeColor="text1"/>
        </w:rPr>
      </w:pPr>
      <w:bookmarkStart w:id="121" w:name="_Toc89075878"/>
      <w:bookmarkStart w:id="122" w:name="_Toc183682368"/>
      <w:bookmarkStart w:id="123" w:name="_Toc183582231"/>
      <w:bookmarkStart w:id="124" w:name="_Toc217446056"/>
      <w:bookmarkStart w:id="125" w:name="_Toc77400782"/>
      <w:r>
        <w:rPr>
          <w:rFonts w:hint="eastAsia" w:ascii="仿宋" w:hAnsi="仿宋" w:eastAsia="仿宋"/>
          <w:color w:val="000000" w:themeColor="text1"/>
        </w:rPr>
        <w:t>四、开标和评标</w:t>
      </w:r>
      <w:bookmarkEnd w:id="121"/>
      <w:bookmarkEnd w:id="122"/>
      <w:bookmarkEnd w:id="123"/>
      <w:bookmarkEnd w:id="124"/>
      <w:bookmarkEnd w:id="125"/>
    </w:p>
    <w:p>
      <w:pPr>
        <w:pStyle w:val="4"/>
        <w:spacing w:line="400" w:lineRule="exact"/>
        <w:ind w:firstLine="482" w:firstLineChars="200"/>
        <w:rPr>
          <w:rFonts w:ascii="仿宋" w:hAnsi="仿宋" w:eastAsia="仿宋"/>
          <w:bCs/>
          <w:color w:val="000000" w:themeColor="text1"/>
          <w:sz w:val="24"/>
        </w:rPr>
      </w:pPr>
      <w:bookmarkStart w:id="126" w:name="_Toc183582232"/>
      <w:bookmarkStart w:id="127" w:name="_Toc217446057"/>
      <w:bookmarkStart w:id="128" w:name="_Toc183682369"/>
      <w:r>
        <w:rPr>
          <w:rFonts w:hint="eastAsia" w:ascii="仿宋" w:hAnsi="仿宋" w:eastAsia="仿宋"/>
          <w:bCs/>
          <w:color w:val="000000" w:themeColor="text1"/>
          <w:sz w:val="24"/>
        </w:rPr>
        <w:t>21．开标</w:t>
      </w:r>
      <w:bookmarkEnd w:id="126"/>
      <w:bookmarkEnd w:id="127"/>
      <w:bookmarkEnd w:id="128"/>
    </w:p>
    <w:p>
      <w:pPr>
        <w:spacing w:before="120" w:line="400" w:lineRule="exact"/>
        <w:ind w:firstLine="480" w:firstLineChars="200"/>
        <w:rPr>
          <w:rFonts w:ascii="仿宋" w:hAnsi="仿宋" w:eastAsia="仿宋"/>
          <w:b/>
          <w:bCs/>
          <w:color w:val="000000" w:themeColor="text1"/>
          <w:sz w:val="24"/>
        </w:rPr>
      </w:pPr>
      <w:r>
        <w:rPr>
          <w:rFonts w:hint="eastAsia" w:ascii="仿宋" w:hAnsi="仿宋" w:eastAsia="仿宋"/>
          <w:color w:val="000000" w:themeColor="text1"/>
          <w:sz w:val="24"/>
        </w:rPr>
        <w:t>21</w:t>
      </w:r>
      <w:r>
        <w:rPr>
          <w:rFonts w:ascii="仿宋" w:hAnsi="仿宋" w:eastAsia="仿宋"/>
          <w:color w:val="000000" w:themeColor="text1"/>
          <w:sz w:val="24"/>
        </w:rPr>
        <w:t>.</w:t>
      </w:r>
      <w:r>
        <w:rPr>
          <w:rFonts w:hint="eastAsia" w:ascii="仿宋" w:hAnsi="仿宋" w:eastAsia="仿宋"/>
          <w:color w:val="000000" w:themeColor="text1"/>
          <w:sz w:val="24"/>
        </w:rPr>
        <w:t>1 招标人在招标文件规定的时间和地点组织开标，招标人、投标人须派代表参加出席开标。</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21.2 开标时，招标人可以申请公证机构对投标文件的密封情况进行检查并公证。经确认无误后，由招标工作人员或公证人员将投标人单独递交的“开标一览表”当众拆封，并由唱标人员按照招标文件规定的内容进行宣读。</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21.3 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25"/>
        <w:spacing w:line="400" w:lineRule="exact"/>
        <w:ind w:firstLine="480"/>
        <w:rPr>
          <w:rFonts w:ascii="仿宋" w:hAnsi="仿宋" w:eastAsia="仿宋"/>
          <w:color w:val="000000" w:themeColor="text1"/>
          <w:sz w:val="24"/>
          <w:szCs w:val="24"/>
        </w:rPr>
      </w:pPr>
      <w:r>
        <w:rPr>
          <w:rFonts w:hint="eastAsia" w:ascii="仿宋" w:hAnsi="仿宋" w:eastAsia="仿宋"/>
          <w:color w:val="000000" w:themeColor="text1"/>
          <w:sz w:val="24"/>
          <w:szCs w:val="24"/>
        </w:rPr>
        <w:t>21.4 投标文件中有关明细表内容与“开标一览表”不一致的，以“开标一览表”为准。对不同文字文本投标文件的解释发生异议的，以中文文本为准。</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21.5 所有投标唱标完毕，如投标人代表对宣读的“开标一览表”上的内容有异议的，应在获得开标会主持人同意后当场提出。如确实属于唱标人员宣读错了的，经现场监督人员和公证人员核实后，当场予以更正。</w:t>
      </w:r>
    </w:p>
    <w:p>
      <w:pPr>
        <w:pStyle w:val="4"/>
        <w:spacing w:line="400" w:lineRule="exact"/>
        <w:ind w:firstLine="482" w:firstLineChars="200"/>
        <w:rPr>
          <w:rFonts w:ascii="仿宋" w:hAnsi="仿宋" w:eastAsia="仿宋"/>
          <w:color w:val="000000" w:themeColor="text1"/>
          <w:sz w:val="24"/>
          <w:szCs w:val="24"/>
        </w:rPr>
      </w:pPr>
      <w:bookmarkStart w:id="129" w:name="_Toc217446058"/>
      <w:r>
        <w:rPr>
          <w:rFonts w:hint="eastAsia" w:ascii="仿宋" w:hAnsi="仿宋" w:eastAsia="仿宋"/>
          <w:color w:val="000000" w:themeColor="text1"/>
          <w:sz w:val="24"/>
          <w:szCs w:val="24"/>
        </w:rPr>
        <w:t>22. 开标程序</w:t>
      </w:r>
      <w:bookmarkEnd w:id="129"/>
    </w:p>
    <w:p>
      <w:pPr>
        <w:pStyle w:val="25"/>
        <w:spacing w:line="400" w:lineRule="exact"/>
        <w:ind w:firstLine="480"/>
        <w:rPr>
          <w:rFonts w:ascii="仿宋" w:hAnsi="仿宋" w:eastAsia="仿宋"/>
          <w:color w:val="000000" w:themeColor="text1"/>
          <w:sz w:val="24"/>
          <w:szCs w:val="24"/>
        </w:rPr>
      </w:pPr>
      <w:r>
        <w:rPr>
          <w:rFonts w:hint="eastAsia" w:ascii="仿宋" w:hAnsi="仿宋" w:eastAsia="仿宋"/>
          <w:color w:val="000000" w:themeColor="text1"/>
          <w:sz w:val="24"/>
          <w:szCs w:val="24"/>
        </w:rPr>
        <w:t>22.1 开标会主持人按照招标文件规定的开标时间宣布开标，按照规定要求主持开标会。开标将按以下程序进行：</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宣布开标会开始。开标时间到，主持人宣布开标会开始并致辞，当众宣布参加开标会的现场监督人员、公证人员和主持人、唱标、监标、会议记录等招标工作人员，根据“供应商签到表”宣布参加投标的供应商名单。</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（2）宣布会场纪律和有关注意事项。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（3）当众宣布检查投标文件的密封情况。</w:t>
      </w:r>
    </w:p>
    <w:p>
      <w:pPr>
        <w:spacing w:line="400" w:lineRule="exact"/>
        <w:ind w:firstLine="460" w:firstLineChars="192"/>
        <w:rPr>
          <w:rFonts w:ascii="仿宋" w:hAnsi="仿宋" w:eastAsia="仿宋"/>
          <w:color w:val="000000" w:themeColor="text1"/>
          <w:sz w:val="24"/>
        </w:rPr>
      </w:pPr>
      <w:r>
        <w:rPr>
          <w:rFonts w:hint="eastAsia" w:ascii="仿宋" w:hAnsi="仿宋" w:eastAsia="仿宋"/>
          <w:color w:val="000000" w:themeColor="text1"/>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核实后，主持人立即请投标人代表现场进行澄清。</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（5）宣布开标会结束。主持人宣布开标会结束后，所有投标人代表应立即退场。</w:t>
      </w:r>
    </w:p>
    <w:p>
      <w:pPr>
        <w:pStyle w:val="4"/>
        <w:spacing w:line="400" w:lineRule="exact"/>
        <w:ind w:firstLine="482" w:firstLineChars="200"/>
        <w:rPr>
          <w:rFonts w:ascii="仿宋" w:hAnsi="仿宋" w:eastAsia="仿宋"/>
          <w:color w:val="000000" w:themeColor="text1"/>
          <w:sz w:val="24"/>
          <w:szCs w:val="24"/>
        </w:rPr>
      </w:pPr>
      <w:bookmarkStart w:id="130" w:name="_Toc217446059"/>
      <w:r>
        <w:rPr>
          <w:rFonts w:hint="eastAsia" w:ascii="仿宋" w:hAnsi="仿宋" w:eastAsia="仿宋"/>
          <w:color w:val="000000" w:themeColor="text1"/>
          <w:sz w:val="24"/>
          <w:szCs w:val="24"/>
        </w:rPr>
        <w:t>23. 评标</w:t>
      </w:r>
      <w:bookmarkEnd w:id="130"/>
    </w:p>
    <w:p>
      <w:pPr>
        <w:spacing w:line="400" w:lineRule="exact"/>
        <w:ind w:left="408" w:leftChars="120" w:firstLine="225" w:firstLineChars="94"/>
        <w:rPr>
          <w:rFonts w:ascii="仿宋" w:hAnsi="仿宋" w:eastAsia="仿宋"/>
          <w:color w:val="000000" w:themeColor="text1"/>
          <w:sz w:val="24"/>
        </w:rPr>
      </w:pPr>
      <w:r>
        <w:rPr>
          <w:rFonts w:ascii="仿宋" w:hAnsi="仿宋" w:eastAsia="仿宋"/>
          <w:color w:val="000000" w:themeColor="text1"/>
          <w:sz w:val="24"/>
        </w:rPr>
        <w:t>2</w:t>
      </w:r>
      <w:r>
        <w:rPr>
          <w:rFonts w:hint="eastAsia" w:ascii="仿宋" w:hAnsi="仿宋" w:eastAsia="仿宋"/>
          <w:color w:val="000000" w:themeColor="text1"/>
          <w:sz w:val="24"/>
        </w:rPr>
        <w:t>3</w:t>
      </w:r>
      <w:r>
        <w:rPr>
          <w:rFonts w:ascii="仿宋" w:hAnsi="仿宋" w:eastAsia="仿宋"/>
          <w:color w:val="000000" w:themeColor="text1"/>
          <w:sz w:val="24"/>
        </w:rPr>
        <w:t>.</w:t>
      </w:r>
      <w:r>
        <w:rPr>
          <w:rFonts w:hint="eastAsia" w:ascii="仿宋" w:hAnsi="仿宋" w:eastAsia="仿宋"/>
          <w:color w:val="000000" w:themeColor="text1"/>
          <w:sz w:val="24"/>
        </w:rPr>
        <w:t>1 评标工作由招标人依法组建的评标委员会（以下简称评委会）负责。</w:t>
      </w:r>
    </w:p>
    <w:p>
      <w:pPr>
        <w:spacing w:line="400" w:lineRule="exact"/>
        <w:ind w:firstLine="480" w:firstLineChars="200"/>
        <w:rPr>
          <w:rFonts w:ascii="仿宋" w:hAnsi="仿宋" w:eastAsia="仿宋"/>
          <w:color w:val="000000" w:themeColor="text1"/>
          <w:sz w:val="24"/>
        </w:rPr>
      </w:pPr>
      <w:r>
        <w:rPr>
          <w:rFonts w:ascii="仿宋" w:hAnsi="仿宋" w:eastAsia="仿宋"/>
          <w:color w:val="000000" w:themeColor="text1"/>
          <w:sz w:val="24"/>
        </w:rPr>
        <w:t>2</w:t>
      </w:r>
      <w:r>
        <w:rPr>
          <w:rFonts w:hint="eastAsia" w:ascii="仿宋" w:hAnsi="仿宋" w:eastAsia="仿宋"/>
          <w:color w:val="000000" w:themeColor="text1"/>
          <w:sz w:val="24"/>
        </w:rPr>
        <w:t>3</w:t>
      </w:r>
      <w:r>
        <w:rPr>
          <w:rFonts w:ascii="仿宋" w:hAnsi="仿宋" w:eastAsia="仿宋"/>
          <w:color w:val="000000" w:themeColor="text1"/>
          <w:sz w:val="24"/>
        </w:rPr>
        <w:t>.</w:t>
      </w:r>
      <w:r>
        <w:rPr>
          <w:rFonts w:hint="eastAsia" w:ascii="仿宋" w:hAnsi="仿宋" w:eastAsia="仿宋"/>
          <w:color w:val="000000" w:themeColor="text1"/>
          <w:sz w:val="24"/>
        </w:rPr>
        <w:t>2 评标过程严格保密。投标人对评委会的评标过程或合同授予决定施加影响的任何行为都可能导致其投标被拒绝。</w:t>
      </w:r>
    </w:p>
    <w:p>
      <w:pPr>
        <w:spacing w:line="400" w:lineRule="exact"/>
        <w:ind w:firstLine="480" w:firstLineChars="200"/>
        <w:rPr>
          <w:rFonts w:ascii="仿宋" w:hAnsi="仿宋" w:eastAsia="仿宋"/>
          <w:color w:val="000000" w:themeColor="text1"/>
          <w:sz w:val="24"/>
        </w:rPr>
      </w:pPr>
      <w:r>
        <w:rPr>
          <w:rFonts w:ascii="仿宋" w:hAnsi="仿宋" w:eastAsia="仿宋"/>
          <w:color w:val="000000" w:themeColor="text1"/>
          <w:sz w:val="24"/>
        </w:rPr>
        <w:t>2</w:t>
      </w:r>
      <w:r>
        <w:rPr>
          <w:rFonts w:hint="eastAsia" w:ascii="仿宋" w:hAnsi="仿宋" w:eastAsia="仿宋"/>
          <w:color w:val="000000" w:themeColor="text1"/>
          <w:sz w:val="24"/>
        </w:rPr>
        <w:t>3</w:t>
      </w:r>
      <w:r>
        <w:rPr>
          <w:rFonts w:ascii="仿宋" w:hAnsi="仿宋" w:eastAsia="仿宋"/>
          <w:color w:val="000000" w:themeColor="text1"/>
          <w:sz w:val="24"/>
        </w:rPr>
        <w:t>.</w:t>
      </w:r>
      <w:r>
        <w:rPr>
          <w:rFonts w:hint="eastAsia" w:ascii="仿宋" w:hAnsi="仿宋" w:eastAsia="仿宋"/>
          <w:color w:val="000000" w:themeColor="text1"/>
          <w:sz w:val="24"/>
        </w:rPr>
        <w:t>3 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23.4 评委会认定实质性响应招标文件的投标是投标文件与招标文件要求的全部条款、条件和规格没有实质性负偏离。评委会决定投标文件的响应性依据投标文件本身的内容，而不寻求外部的证据。</w:t>
      </w:r>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23.5投标文件如果没有实质性响应招标文件的要求，评委会将予以拒绝。投标人不得通过修正或撤消不合要求的偏离或保留从而使其投标成为实质性响应的投标。</w:t>
      </w:r>
    </w:p>
    <w:p>
      <w:pPr>
        <w:spacing w:line="400" w:lineRule="exact"/>
        <w:ind w:firstLine="460" w:firstLineChars="192"/>
        <w:rPr>
          <w:rFonts w:ascii="仿宋" w:hAnsi="仿宋" w:eastAsia="仿宋"/>
          <w:color w:val="000000" w:themeColor="text1"/>
          <w:sz w:val="24"/>
        </w:rPr>
      </w:pPr>
      <w:r>
        <w:rPr>
          <w:rFonts w:hint="eastAsia" w:ascii="仿宋" w:hAnsi="仿宋" w:eastAsia="仿宋"/>
          <w:color w:val="000000" w:themeColor="text1"/>
          <w:sz w:val="24"/>
        </w:rPr>
        <w:t>23.6 评委会只对确定为实质性响应招标文件要求的投标文件，根据招标文件的要求采用相同的评标程序、评分办法及标准进行评价和比较。</w:t>
      </w:r>
    </w:p>
    <w:p>
      <w:pPr>
        <w:spacing w:line="400" w:lineRule="exact"/>
        <w:ind w:firstLine="480" w:firstLineChars="200"/>
        <w:rPr>
          <w:rFonts w:ascii="仿宋" w:hAnsi="仿宋" w:eastAsia="仿宋"/>
          <w:color w:val="000000" w:themeColor="text1"/>
          <w:sz w:val="24"/>
        </w:rPr>
      </w:pPr>
      <w:r>
        <w:rPr>
          <w:rFonts w:ascii="仿宋" w:hAnsi="仿宋" w:eastAsia="仿宋"/>
          <w:color w:val="000000" w:themeColor="text1"/>
          <w:sz w:val="24"/>
        </w:rPr>
        <w:t>2</w:t>
      </w:r>
      <w:r>
        <w:rPr>
          <w:rFonts w:hint="eastAsia" w:ascii="仿宋" w:hAnsi="仿宋" w:eastAsia="仿宋"/>
          <w:color w:val="000000" w:themeColor="text1"/>
          <w:sz w:val="24"/>
        </w:rPr>
        <w:t>3.7 投标文件属于下列情况的，在资格性、符合性检查时按照无效投标处理：</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（1）未按照招标文件规定和要求签署、盖章的</w:t>
      </w:r>
      <w:r>
        <w:rPr>
          <w:rFonts w:ascii="仿宋" w:hAnsi="仿宋" w:eastAsia="仿宋"/>
          <w:color w:val="000000" w:themeColor="text1"/>
          <w:sz w:val="24"/>
        </w:rPr>
        <w:t>;</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（2）不具备招标文件中规定的资格条件和要求的</w:t>
      </w:r>
      <w:r>
        <w:rPr>
          <w:rFonts w:ascii="仿宋" w:hAnsi="仿宋" w:eastAsia="仿宋"/>
          <w:color w:val="000000" w:themeColor="text1"/>
          <w:sz w:val="24"/>
        </w:rPr>
        <w:t>;</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w:t>
      </w:r>
      <w:bookmarkStart w:id="131" w:name="_Toc183682370"/>
      <w:bookmarkStart w:id="132" w:name="_Toc183582233"/>
      <w:r>
        <w:rPr>
          <w:rFonts w:hint="eastAsia" w:ascii="仿宋" w:hAnsi="仿宋" w:eastAsia="仿宋"/>
          <w:color w:val="000000" w:themeColor="text1"/>
          <w:sz w:val="24"/>
        </w:rPr>
        <w:t>3）招标文件规定的其他无效投标情形；</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（4）不符合法律法规和招标文件中规定的其他实质性要求的。</w:t>
      </w:r>
    </w:p>
    <w:bookmarkEnd w:id="131"/>
    <w:bookmarkEnd w:id="132"/>
    <w:p>
      <w:pPr>
        <w:pStyle w:val="3"/>
        <w:spacing w:line="400" w:lineRule="exact"/>
        <w:jc w:val="center"/>
        <w:rPr>
          <w:rFonts w:ascii="仿宋" w:hAnsi="仿宋" w:eastAsia="仿宋"/>
          <w:color w:val="000000" w:themeColor="text1"/>
          <w:szCs w:val="28"/>
        </w:rPr>
      </w:pPr>
      <w:bookmarkStart w:id="133" w:name="_Toc217446060"/>
      <w:r>
        <w:rPr>
          <w:rFonts w:hint="eastAsia" w:ascii="仿宋" w:hAnsi="仿宋" w:eastAsia="仿宋"/>
          <w:color w:val="000000" w:themeColor="text1"/>
          <w:szCs w:val="28"/>
        </w:rPr>
        <w:t>五、定标</w:t>
      </w:r>
      <w:bookmarkEnd w:id="133"/>
      <w:bookmarkStart w:id="134" w:name="_Toc217446061"/>
    </w:p>
    <w:p>
      <w:pPr>
        <w:pStyle w:val="4"/>
        <w:spacing w:line="400" w:lineRule="exact"/>
        <w:ind w:firstLine="482"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24. 定标原则</w:t>
      </w:r>
      <w:bookmarkEnd w:id="134"/>
    </w:p>
    <w:p>
      <w:pPr>
        <w:pStyle w:val="5"/>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根据评委会推荐的中标候选人名单，按顺序确定中标人。</w:t>
      </w:r>
    </w:p>
    <w:p>
      <w:pPr>
        <w:pStyle w:val="4"/>
        <w:spacing w:line="400" w:lineRule="exact"/>
        <w:ind w:firstLine="482" w:firstLineChars="200"/>
        <w:rPr>
          <w:rFonts w:ascii="仿宋" w:hAnsi="仿宋" w:eastAsia="仿宋"/>
          <w:color w:val="000000" w:themeColor="text1"/>
          <w:sz w:val="24"/>
          <w:szCs w:val="24"/>
        </w:rPr>
      </w:pPr>
      <w:bookmarkStart w:id="135" w:name="_Toc217446062"/>
      <w:r>
        <w:rPr>
          <w:rFonts w:hint="eastAsia" w:ascii="仿宋" w:hAnsi="仿宋" w:eastAsia="仿宋"/>
          <w:color w:val="000000" w:themeColor="text1"/>
          <w:sz w:val="24"/>
          <w:szCs w:val="24"/>
        </w:rPr>
        <w:t>25. 定标程序</w:t>
      </w:r>
      <w:bookmarkEnd w:id="135"/>
    </w:p>
    <w:p>
      <w:pPr>
        <w:spacing w:line="400" w:lineRule="exact"/>
        <w:ind w:firstLine="420" w:firstLineChars="175"/>
        <w:rPr>
          <w:rFonts w:ascii="仿宋" w:hAnsi="仿宋" w:eastAsia="仿宋"/>
          <w:color w:val="000000" w:themeColor="text1"/>
          <w:sz w:val="24"/>
        </w:rPr>
      </w:pPr>
      <w:r>
        <w:rPr>
          <w:rFonts w:hint="eastAsia" w:ascii="仿宋" w:hAnsi="仿宋" w:eastAsia="仿宋"/>
          <w:color w:val="000000" w:themeColor="text1"/>
          <w:sz w:val="24"/>
        </w:rPr>
        <w:t>25.1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20" w:firstLineChars="175"/>
        <w:rPr>
          <w:rFonts w:ascii="仿宋" w:hAnsi="仿宋" w:eastAsia="仿宋"/>
          <w:color w:val="000000" w:themeColor="text1"/>
          <w:sz w:val="24"/>
        </w:rPr>
      </w:pPr>
      <w:r>
        <w:rPr>
          <w:rFonts w:hint="eastAsia" w:ascii="仿宋" w:hAnsi="仿宋" w:eastAsia="仿宋"/>
          <w:color w:val="000000" w:themeColor="text1"/>
          <w:sz w:val="24"/>
        </w:rPr>
        <w:t>25</w:t>
      </w:r>
      <w:r>
        <w:rPr>
          <w:rFonts w:ascii="仿宋" w:hAnsi="仿宋" w:eastAsia="仿宋"/>
          <w:color w:val="000000" w:themeColor="text1"/>
          <w:sz w:val="24"/>
        </w:rPr>
        <w:t>.</w:t>
      </w:r>
      <w:r>
        <w:rPr>
          <w:rFonts w:hint="eastAsia" w:ascii="仿宋" w:hAnsi="仿宋" w:eastAsia="仿宋"/>
          <w:color w:val="000000" w:themeColor="text1"/>
          <w:sz w:val="24"/>
        </w:rPr>
        <w:t>2 招标人在完成评标报告后五个工作日内，按照评标报告中推荐的中标候选人顺序确定中标人。</w:t>
      </w:r>
    </w:p>
    <w:p>
      <w:pPr>
        <w:spacing w:line="400" w:lineRule="exact"/>
        <w:ind w:firstLine="420" w:firstLineChars="175"/>
        <w:rPr>
          <w:rFonts w:ascii="仿宋" w:hAnsi="仿宋" w:eastAsia="仿宋"/>
          <w:color w:val="000000" w:themeColor="text1"/>
          <w:sz w:val="24"/>
        </w:rPr>
      </w:pPr>
      <w:r>
        <w:rPr>
          <w:rFonts w:hint="eastAsia" w:ascii="仿宋" w:hAnsi="仿宋" w:eastAsia="仿宋"/>
          <w:color w:val="000000" w:themeColor="text1"/>
          <w:sz w:val="24"/>
        </w:rPr>
        <w:t>25</w:t>
      </w:r>
      <w:r>
        <w:rPr>
          <w:rFonts w:ascii="仿宋" w:hAnsi="仿宋" w:eastAsia="仿宋"/>
          <w:color w:val="000000" w:themeColor="text1"/>
          <w:sz w:val="24"/>
        </w:rPr>
        <w:t>.</w:t>
      </w:r>
      <w:r>
        <w:rPr>
          <w:rFonts w:hint="eastAsia" w:ascii="仿宋" w:hAnsi="仿宋" w:eastAsia="仿宋"/>
          <w:color w:val="000000" w:themeColor="text1"/>
          <w:sz w:val="24"/>
        </w:rPr>
        <w:t>4评标后排序第一的由招标人通知投标人，进行合同谈判，未接到招标人通知的投标人，即为排序靠后。</w:t>
      </w:r>
    </w:p>
    <w:p>
      <w:pPr>
        <w:spacing w:line="400" w:lineRule="exact"/>
        <w:ind w:firstLine="420" w:firstLineChars="175"/>
        <w:rPr>
          <w:rFonts w:ascii="仿宋" w:hAnsi="仿宋" w:eastAsia="仿宋"/>
          <w:color w:val="000000" w:themeColor="text1"/>
          <w:sz w:val="24"/>
        </w:rPr>
      </w:pPr>
      <w:r>
        <w:rPr>
          <w:rFonts w:hint="eastAsia" w:ascii="仿宋" w:hAnsi="仿宋" w:eastAsia="仿宋"/>
          <w:color w:val="000000" w:themeColor="text1"/>
          <w:sz w:val="24"/>
        </w:rPr>
        <w:t>25</w:t>
      </w:r>
      <w:r>
        <w:rPr>
          <w:rFonts w:ascii="仿宋" w:hAnsi="仿宋" w:eastAsia="仿宋"/>
          <w:color w:val="000000" w:themeColor="text1"/>
          <w:sz w:val="24"/>
        </w:rPr>
        <w:t>.</w:t>
      </w:r>
      <w:r>
        <w:rPr>
          <w:rFonts w:hint="eastAsia" w:ascii="仿宋" w:hAnsi="仿宋" w:eastAsia="仿宋"/>
          <w:color w:val="000000" w:themeColor="text1"/>
          <w:sz w:val="24"/>
        </w:rPr>
        <w:t>5 招标采购单位不解释中标或落标原因，不退回投标文件和其他投标资料。</w:t>
      </w:r>
    </w:p>
    <w:p>
      <w:pPr>
        <w:pStyle w:val="4"/>
        <w:spacing w:line="400" w:lineRule="exact"/>
        <w:ind w:firstLine="482" w:firstLineChars="200"/>
        <w:rPr>
          <w:rFonts w:ascii="仿宋" w:hAnsi="仿宋" w:eastAsia="仿宋"/>
          <w:bCs/>
          <w:color w:val="000000" w:themeColor="text1"/>
          <w:sz w:val="24"/>
        </w:rPr>
      </w:pPr>
      <w:bookmarkStart w:id="136" w:name="_Toc183682375"/>
      <w:bookmarkStart w:id="137" w:name="_Toc217446063"/>
      <w:bookmarkStart w:id="138" w:name="_Toc183582238"/>
      <w:r>
        <w:rPr>
          <w:rFonts w:hint="eastAsia" w:ascii="仿宋" w:hAnsi="仿宋" w:eastAsia="仿宋"/>
          <w:bCs/>
          <w:color w:val="000000" w:themeColor="text1"/>
          <w:sz w:val="24"/>
        </w:rPr>
        <w:t>26．中标通知</w:t>
      </w:r>
      <w:bookmarkEnd w:id="136"/>
      <w:bookmarkEnd w:id="137"/>
      <w:bookmarkEnd w:id="138"/>
      <w:r>
        <w:rPr>
          <w:rFonts w:hint="eastAsia" w:ascii="仿宋" w:hAnsi="仿宋" w:eastAsia="仿宋"/>
          <w:bCs/>
          <w:color w:val="000000" w:themeColor="text1"/>
          <w:sz w:val="24"/>
        </w:rPr>
        <w:t>书</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26</w:t>
      </w:r>
      <w:r>
        <w:rPr>
          <w:rFonts w:ascii="仿宋" w:hAnsi="仿宋" w:eastAsia="仿宋"/>
          <w:b/>
          <w:bCs/>
          <w:color w:val="000000" w:themeColor="text1"/>
          <w:sz w:val="24"/>
        </w:rPr>
        <w:t>.</w:t>
      </w:r>
      <w:r>
        <w:rPr>
          <w:rFonts w:hint="eastAsia" w:ascii="仿宋" w:hAnsi="仿宋" w:eastAsia="仿宋"/>
          <w:color w:val="000000" w:themeColor="text1"/>
          <w:sz w:val="24"/>
        </w:rPr>
        <w:t>1 中标通知书为签订采购合同的依据。</w:t>
      </w:r>
    </w:p>
    <w:p>
      <w:pPr>
        <w:tabs>
          <w:tab w:val="left" w:pos="7665"/>
        </w:tabs>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26.2 中标通知书对招标人和中标人均具有法律效力。中标通知书发出后，招标人改变中标结果，或者中标人无正当理由放弃中标的，应当承担相应的法律责任。</w:t>
      </w:r>
    </w:p>
    <w:p>
      <w:pPr>
        <w:tabs>
          <w:tab w:val="left" w:pos="7665"/>
        </w:tabs>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26．3中标人的投标文件本应作为无效投标处理或者有招标采购法律法规规章制度规定的中标无效情形的，招标人在取得有权主体的认定以后，应当宣布发出的中标通知书无效，并收回发出的中标通知书（中标人也应当缴回），依法重新确定中标人或者重新开展采购活动。</w:t>
      </w:r>
    </w:p>
    <w:p>
      <w:pPr>
        <w:tabs>
          <w:tab w:val="left" w:pos="7665"/>
        </w:tabs>
        <w:spacing w:line="400" w:lineRule="exact"/>
        <w:jc w:val="center"/>
        <w:rPr>
          <w:rFonts w:ascii="仿宋" w:hAnsi="仿宋" w:eastAsia="仿宋"/>
          <w:b/>
          <w:color w:val="000000" w:themeColor="text1"/>
          <w:sz w:val="28"/>
          <w:szCs w:val="28"/>
        </w:rPr>
      </w:pPr>
      <w:bookmarkStart w:id="139" w:name="_Toc217446064"/>
      <w:bookmarkStart w:id="140" w:name="_Toc183582240"/>
      <w:bookmarkStart w:id="141" w:name="_Toc183682377"/>
      <w:r>
        <w:rPr>
          <w:rFonts w:hint="eastAsia" w:ascii="仿宋" w:hAnsi="仿宋" w:eastAsia="仿宋"/>
          <w:b/>
          <w:color w:val="000000" w:themeColor="text1"/>
          <w:sz w:val="28"/>
          <w:szCs w:val="28"/>
        </w:rPr>
        <w:t>六、签订及履行合同和验收</w:t>
      </w:r>
      <w:bookmarkEnd w:id="139"/>
    </w:p>
    <w:p>
      <w:pPr>
        <w:pStyle w:val="4"/>
        <w:spacing w:line="400" w:lineRule="exact"/>
        <w:ind w:firstLine="482" w:firstLineChars="200"/>
        <w:rPr>
          <w:rFonts w:ascii="仿宋" w:hAnsi="仿宋" w:eastAsia="仿宋"/>
          <w:bCs/>
          <w:color w:val="000000" w:themeColor="text1"/>
          <w:sz w:val="24"/>
        </w:rPr>
      </w:pPr>
      <w:bookmarkStart w:id="142" w:name="_Toc217446065"/>
      <w:r>
        <w:rPr>
          <w:rFonts w:hint="eastAsia" w:ascii="仿宋" w:hAnsi="仿宋" w:eastAsia="仿宋"/>
          <w:bCs/>
          <w:color w:val="000000" w:themeColor="text1"/>
          <w:sz w:val="24"/>
        </w:rPr>
        <w:t>27. 签订合同</w:t>
      </w:r>
      <w:bookmarkEnd w:id="142"/>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27.1 中标人在收到招标人发出的《中标通知书》后，应在招标文件规定的时间内与招标人签订采购合同。由于中标人的原因逾期未与招标人签订采购合同的，将视为放弃中标，取消其中标资格并将按相关规定进行处理。</w:t>
      </w:r>
    </w:p>
    <w:p>
      <w:pPr>
        <w:spacing w:line="400" w:lineRule="exact"/>
        <w:ind w:firstLine="420" w:firstLineChars="175"/>
        <w:rPr>
          <w:rFonts w:ascii="仿宋" w:hAnsi="仿宋" w:eastAsia="仿宋"/>
          <w:color w:val="000000" w:themeColor="text1"/>
          <w:sz w:val="24"/>
        </w:rPr>
      </w:pPr>
      <w:r>
        <w:rPr>
          <w:rFonts w:hint="eastAsia" w:ascii="仿宋" w:hAnsi="仿宋" w:eastAsia="仿宋"/>
          <w:color w:val="000000" w:themeColor="text1"/>
          <w:sz w:val="24"/>
        </w:rPr>
        <w:t>27.2 招标人不得向中标人提出任何不合理的要求，作为签订合同的条件，不得与中标人私下订立背离合同实质性内容的任何协议，所签订的合同不得对招标文件和中标人投标文件作实质性修改。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420" w:firstLineChars="175"/>
        <w:rPr>
          <w:rFonts w:ascii="仿宋" w:hAnsi="仿宋" w:eastAsia="仿宋"/>
          <w:color w:val="000000" w:themeColor="text1"/>
          <w:sz w:val="24"/>
        </w:rPr>
      </w:pPr>
      <w:r>
        <w:rPr>
          <w:rFonts w:hint="eastAsia" w:ascii="仿宋" w:hAnsi="仿宋" w:eastAsia="仿宋"/>
          <w:color w:val="000000" w:themeColor="text1"/>
          <w:sz w:val="24"/>
        </w:rPr>
        <w:t>27.3 中标人因不可抗力原因不能履行采购合同或放弃中标的，招标人可以与排在中标人之后第一位的中标候选人签订采购合同，以此类推。</w:t>
      </w:r>
    </w:p>
    <w:p>
      <w:pPr>
        <w:pStyle w:val="4"/>
        <w:spacing w:line="400" w:lineRule="exact"/>
        <w:ind w:firstLine="482" w:firstLineChars="200"/>
        <w:rPr>
          <w:rFonts w:ascii="仿宋" w:hAnsi="仿宋" w:eastAsia="仿宋"/>
          <w:bCs/>
          <w:color w:val="000000" w:themeColor="text1"/>
          <w:sz w:val="24"/>
        </w:rPr>
      </w:pPr>
      <w:bookmarkStart w:id="143" w:name="_Toc217446066"/>
      <w:r>
        <w:rPr>
          <w:rFonts w:hint="eastAsia" w:ascii="仿宋" w:hAnsi="仿宋" w:eastAsia="仿宋"/>
          <w:bCs/>
          <w:color w:val="000000" w:themeColor="text1"/>
          <w:sz w:val="24"/>
        </w:rPr>
        <w:t>28. 合同分包</w:t>
      </w:r>
      <w:bookmarkEnd w:id="143"/>
    </w:p>
    <w:p>
      <w:pPr>
        <w:spacing w:line="400" w:lineRule="exact"/>
        <w:ind w:firstLine="495"/>
        <w:rPr>
          <w:rFonts w:ascii="仿宋" w:hAnsi="仿宋" w:eastAsia="仿宋"/>
          <w:color w:val="000000" w:themeColor="text1"/>
          <w:sz w:val="24"/>
        </w:rPr>
      </w:pPr>
      <w:r>
        <w:rPr>
          <w:rFonts w:hint="eastAsia" w:ascii="仿宋" w:hAnsi="仿宋" w:eastAsia="仿宋"/>
          <w:color w:val="000000" w:themeColor="text1"/>
          <w:sz w:val="24"/>
        </w:rPr>
        <w:t>28.1 本招标不实行分包</w:t>
      </w:r>
    </w:p>
    <w:p>
      <w:pPr>
        <w:pStyle w:val="4"/>
        <w:spacing w:line="400" w:lineRule="exact"/>
        <w:ind w:firstLine="482" w:firstLineChars="200"/>
        <w:rPr>
          <w:rFonts w:ascii="仿宋" w:hAnsi="仿宋" w:eastAsia="仿宋"/>
          <w:bCs/>
          <w:color w:val="000000" w:themeColor="text1"/>
          <w:sz w:val="24"/>
        </w:rPr>
      </w:pPr>
      <w:bookmarkStart w:id="144" w:name="_Toc217446067"/>
      <w:r>
        <w:rPr>
          <w:rFonts w:hint="eastAsia" w:ascii="仿宋" w:hAnsi="仿宋" w:eastAsia="仿宋"/>
          <w:bCs/>
          <w:color w:val="000000" w:themeColor="text1"/>
          <w:sz w:val="24"/>
        </w:rPr>
        <w:t>29. 招标人增加合同标的权</w:t>
      </w:r>
      <w:bookmarkEnd w:id="144"/>
      <w:r>
        <w:rPr>
          <w:rFonts w:hint="eastAsia" w:ascii="仿宋" w:hAnsi="仿宋" w:eastAsia="仿宋"/>
          <w:bCs/>
          <w:color w:val="000000" w:themeColor="text1"/>
          <w:sz w:val="24"/>
        </w:rPr>
        <w:t>利</w:t>
      </w:r>
    </w:p>
    <w:p>
      <w:pPr>
        <w:spacing w:line="400" w:lineRule="exact"/>
        <w:ind w:firstLine="495"/>
        <w:rPr>
          <w:rFonts w:ascii="仿宋" w:hAnsi="仿宋" w:eastAsia="仿宋"/>
          <w:color w:val="000000" w:themeColor="text1"/>
          <w:sz w:val="24"/>
        </w:rPr>
      </w:pPr>
      <w:r>
        <w:rPr>
          <w:rFonts w:hint="eastAsia" w:ascii="仿宋" w:hAnsi="仿宋" w:eastAsia="仿宋"/>
          <w:color w:val="000000" w:themeColor="text1"/>
          <w:sz w:val="24"/>
        </w:rPr>
        <w:t>采购合同履行过程中，招标人需要追加与合同标的相同的货物或者服务的，在不改变合同其他条款的前提下，可以与中标供应商协商签订补充合同，但所有补充合同的采购金额不得超过原合同采购金额的百分之十。</w:t>
      </w:r>
    </w:p>
    <w:p>
      <w:pPr>
        <w:pStyle w:val="4"/>
        <w:spacing w:line="400" w:lineRule="exact"/>
        <w:ind w:firstLine="482" w:firstLineChars="200"/>
        <w:rPr>
          <w:rFonts w:ascii="仿宋" w:hAnsi="仿宋" w:eastAsia="仿宋"/>
          <w:bCs/>
          <w:color w:val="000000" w:themeColor="text1"/>
          <w:sz w:val="24"/>
        </w:rPr>
      </w:pPr>
      <w:bookmarkStart w:id="145" w:name="_Toc217446069"/>
      <w:r>
        <w:rPr>
          <w:rFonts w:hint="eastAsia" w:ascii="仿宋" w:hAnsi="仿宋" w:eastAsia="仿宋"/>
          <w:bCs/>
          <w:color w:val="000000" w:themeColor="text1"/>
          <w:sz w:val="24"/>
        </w:rPr>
        <w:t>30. 履行合同</w:t>
      </w:r>
      <w:bookmarkEnd w:id="145"/>
    </w:p>
    <w:p>
      <w:pPr>
        <w:spacing w:line="400" w:lineRule="exact"/>
        <w:rPr>
          <w:rFonts w:ascii="仿宋" w:hAnsi="仿宋" w:eastAsia="仿宋"/>
          <w:color w:val="000000" w:themeColor="text1"/>
          <w:sz w:val="24"/>
        </w:rPr>
      </w:pPr>
      <w:r>
        <w:rPr>
          <w:rFonts w:hint="eastAsia" w:ascii="仿宋" w:hAnsi="仿宋" w:eastAsia="仿宋"/>
          <w:color w:val="000000" w:themeColor="text1"/>
          <w:sz w:val="24"/>
        </w:rPr>
        <w:t xml:space="preserve">    30.1 中标人与招标人签订合同后，合同双方应严格执行合同条款，履行合同规定的义务，保证合同的顺利完成。</w:t>
      </w:r>
    </w:p>
    <w:p>
      <w:pPr>
        <w:spacing w:line="400" w:lineRule="exact"/>
        <w:rPr>
          <w:rFonts w:ascii="仿宋" w:hAnsi="仿宋" w:eastAsia="仿宋"/>
          <w:color w:val="000000" w:themeColor="text1"/>
          <w:sz w:val="24"/>
        </w:rPr>
      </w:pPr>
      <w:r>
        <w:rPr>
          <w:rFonts w:hint="eastAsia" w:ascii="仿宋" w:hAnsi="仿宋" w:eastAsia="仿宋"/>
          <w:color w:val="000000" w:themeColor="text1"/>
          <w:sz w:val="24"/>
        </w:rPr>
        <w:t xml:space="preserve">    30.2 在合同履行过程中，如发生合同纠纷，合同双方应按照《合同法》的有关规定进行处理。</w:t>
      </w:r>
    </w:p>
    <w:bookmarkEnd w:id="140"/>
    <w:bookmarkEnd w:id="141"/>
    <w:p>
      <w:pPr>
        <w:pStyle w:val="3"/>
        <w:spacing w:line="400" w:lineRule="exact"/>
        <w:jc w:val="center"/>
        <w:rPr>
          <w:rFonts w:ascii="仿宋" w:hAnsi="仿宋" w:eastAsia="仿宋"/>
          <w:color w:val="000000" w:themeColor="text1"/>
          <w:szCs w:val="28"/>
        </w:rPr>
      </w:pPr>
      <w:bookmarkStart w:id="146" w:name="_Toc217446074"/>
      <w:bookmarkStart w:id="147" w:name="_Toc183582243"/>
      <w:bookmarkStart w:id="148" w:name="_Toc183682380"/>
      <w:r>
        <w:rPr>
          <w:rFonts w:hint="eastAsia" w:ascii="仿宋" w:hAnsi="仿宋" w:eastAsia="仿宋"/>
          <w:color w:val="000000" w:themeColor="text1"/>
          <w:szCs w:val="28"/>
        </w:rPr>
        <w:t>七、投标纪律要求</w:t>
      </w:r>
      <w:bookmarkEnd w:id="146"/>
    </w:p>
    <w:p>
      <w:pPr>
        <w:pStyle w:val="4"/>
        <w:spacing w:line="400" w:lineRule="exact"/>
        <w:ind w:firstLine="482" w:firstLineChars="200"/>
        <w:rPr>
          <w:rFonts w:ascii="仿宋" w:hAnsi="仿宋" w:eastAsia="仿宋"/>
          <w:bCs/>
          <w:color w:val="000000" w:themeColor="text1"/>
          <w:sz w:val="24"/>
          <w:szCs w:val="24"/>
        </w:rPr>
      </w:pPr>
      <w:bookmarkStart w:id="149" w:name="_Toc217446075"/>
      <w:r>
        <w:rPr>
          <w:rFonts w:hint="eastAsia" w:ascii="仿宋" w:hAnsi="仿宋" w:eastAsia="仿宋"/>
          <w:color w:val="000000" w:themeColor="text1"/>
          <w:sz w:val="24"/>
        </w:rPr>
        <w:t xml:space="preserve">31. </w:t>
      </w:r>
      <w:r>
        <w:rPr>
          <w:rFonts w:hint="eastAsia" w:ascii="仿宋" w:hAnsi="仿宋" w:eastAsia="仿宋"/>
          <w:bCs/>
          <w:color w:val="000000" w:themeColor="text1"/>
          <w:sz w:val="24"/>
          <w:szCs w:val="24"/>
        </w:rPr>
        <w:t>投标人不得具有的情形</w:t>
      </w:r>
      <w:bookmarkEnd w:id="149"/>
    </w:p>
    <w:p>
      <w:pPr>
        <w:pStyle w:val="5"/>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投标人参加投标不得有下列情形：</w:t>
      </w:r>
    </w:p>
    <w:p>
      <w:pPr>
        <w:spacing w:line="400" w:lineRule="exact"/>
        <w:ind w:firstLine="460" w:firstLineChars="192"/>
        <w:rPr>
          <w:rFonts w:ascii="仿宋" w:hAnsi="仿宋" w:eastAsia="仿宋"/>
          <w:color w:val="000000" w:themeColor="text1"/>
          <w:sz w:val="24"/>
        </w:rPr>
      </w:pPr>
      <w:r>
        <w:rPr>
          <w:rFonts w:hint="eastAsia" w:ascii="仿宋" w:hAnsi="仿宋" w:eastAsia="仿宋"/>
          <w:color w:val="000000" w:themeColor="text1"/>
          <w:sz w:val="24"/>
        </w:rPr>
        <w:t>（</w:t>
      </w:r>
      <w:r>
        <w:rPr>
          <w:rFonts w:ascii="仿宋" w:hAnsi="仿宋" w:eastAsia="仿宋"/>
          <w:color w:val="000000" w:themeColor="text1"/>
          <w:sz w:val="24"/>
        </w:rPr>
        <w:t>1</w:t>
      </w:r>
      <w:r>
        <w:rPr>
          <w:rFonts w:hint="eastAsia" w:ascii="仿宋" w:hAnsi="仿宋" w:eastAsia="仿宋"/>
          <w:color w:val="000000" w:themeColor="text1"/>
          <w:sz w:val="24"/>
        </w:rPr>
        <w:t>）提供虚假材料谋取中标；</w:t>
      </w:r>
    </w:p>
    <w:p>
      <w:pPr>
        <w:spacing w:line="400" w:lineRule="exact"/>
        <w:ind w:firstLine="460" w:firstLineChars="192"/>
        <w:rPr>
          <w:rFonts w:ascii="仿宋" w:hAnsi="仿宋" w:eastAsia="仿宋"/>
          <w:color w:val="000000" w:themeColor="text1"/>
          <w:sz w:val="24"/>
        </w:rPr>
      </w:pPr>
      <w:r>
        <w:rPr>
          <w:rFonts w:hint="eastAsia" w:ascii="仿宋" w:hAnsi="仿宋" w:eastAsia="仿宋"/>
          <w:color w:val="000000" w:themeColor="text1"/>
          <w:sz w:val="24"/>
        </w:rPr>
        <w:t>（</w:t>
      </w:r>
      <w:r>
        <w:rPr>
          <w:rFonts w:ascii="仿宋" w:hAnsi="仿宋" w:eastAsia="仿宋"/>
          <w:color w:val="000000" w:themeColor="text1"/>
          <w:sz w:val="24"/>
        </w:rPr>
        <w:t>2</w:t>
      </w:r>
      <w:r>
        <w:rPr>
          <w:rFonts w:hint="eastAsia" w:ascii="仿宋" w:hAnsi="仿宋" w:eastAsia="仿宋"/>
          <w:color w:val="000000" w:themeColor="text1"/>
          <w:sz w:val="24"/>
        </w:rPr>
        <w:t>）采取不正当手段诋毁、排挤其他投标人；</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（3）与招标采购单位、其他投标人恶意串通；</w:t>
      </w:r>
    </w:p>
    <w:p>
      <w:pPr>
        <w:spacing w:line="400" w:lineRule="exact"/>
        <w:ind w:firstLine="338" w:firstLineChars="141"/>
        <w:rPr>
          <w:rFonts w:ascii="仿宋" w:hAnsi="仿宋" w:eastAsia="仿宋"/>
          <w:color w:val="000000" w:themeColor="text1"/>
          <w:sz w:val="24"/>
        </w:rPr>
      </w:pPr>
      <w:r>
        <w:rPr>
          <w:rFonts w:hint="eastAsia" w:ascii="仿宋" w:hAnsi="仿宋" w:eastAsia="仿宋"/>
          <w:color w:val="000000" w:themeColor="text1"/>
          <w:sz w:val="24"/>
        </w:rPr>
        <w:t xml:space="preserve"> （4）向招标采购单位、评标委员会成员行贿或者提供其他不正当利益；</w:t>
      </w:r>
    </w:p>
    <w:p>
      <w:pPr>
        <w:pStyle w:val="20"/>
        <w:tabs>
          <w:tab w:val="left" w:pos="720"/>
        </w:tabs>
        <w:spacing w:line="400" w:lineRule="exact"/>
        <w:ind w:firstLine="460" w:firstLineChars="192"/>
        <w:rPr>
          <w:rFonts w:ascii="仿宋" w:hAnsi="仿宋" w:eastAsia="仿宋"/>
          <w:color w:val="000000" w:themeColor="text1"/>
          <w:sz w:val="24"/>
          <w:szCs w:val="24"/>
        </w:rPr>
      </w:pPr>
      <w:r>
        <w:rPr>
          <w:rFonts w:hint="eastAsia" w:ascii="仿宋" w:hAnsi="仿宋" w:eastAsia="仿宋"/>
          <w:color w:val="000000" w:themeColor="text1"/>
          <w:sz w:val="24"/>
          <w:szCs w:val="24"/>
        </w:rPr>
        <w:t>（5）在招标过程中与招标采购单位进行协商谈判；</w:t>
      </w:r>
    </w:p>
    <w:p>
      <w:pPr>
        <w:pStyle w:val="20"/>
        <w:spacing w:line="40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（6）拒绝有关部门的监督检查或者向监督检查部门提供虚假情况。</w:t>
      </w:r>
    </w:p>
    <w:p>
      <w:pPr>
        <w:pStyle w:val="5"/>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有上述情形之一的投标人，属于不合格投标人，其投标或中标资格将被取消。</w:t>
      </w:r>
    </w:p>
    <w:p>
      <w:pPr>
        <w:pStyle w:val="5"/>
        <w:spacing w:line="400" w:lineRule="exact"/>
        <w:ind w:firstLine="480"/>
        <w:rPr>
          <w:rFonts w:ascii="仿宋" w:hAnsi="仿宋" w:eastAsia="仿宋"/>
          <w:color w:val="000000" w:themeColor="text1"/>
          <w:sz w:val="24"/>
        </w:rPr>
      </w:pPr>
    </w:p>
    <w:p>
      <w:pPr>
        <w:pStyle w:val="5"/>
        <w:spacing w:line="400" w:lineRule="exact"/>
        <w:ind w:firstLine="480"/>
        <w:rPr>
          <w:rFonts w:ascii="仿宋" w:hAnsi="仿宋" w:eastAsia="仿宋"/>
          <w:color w:val="000000" w:themeColor="text1"/>
          <w:sz w:val="24"/>
        </w:rPr>
      </w:pPr>
    </w:p>
    <w:bookmarkEnd w:id="147"/>
    <w:bookmarkEnd w:id="148"/>
    <w:p>
      <w:pPr>
        <w:pStyle w:val="2"/>
        <w:spacing w:line="240" w:lineRule="atLeast"/>
        <w:jc w:val="center"/>
        <w:rPr>
          <w:rFonts w:ascii="仿宋" w:hAnsi="仿宋" w:eastAsia="仿宋"/>
          <w:bCs w:val="0"/>
          <w:color w:val="000000" w:themeColor="text1"/>
          <w:sz w:val="36"/>
        </w:rPr>
        <w:sectPr>
          <w:pgSz w:w="11907" w:h="16840"/>
          <w:pgMar w:top="1440" w:right="1474" w:bottom="1440" w:left="1474" w:header="851" w:footer="992" w:gutter="0"/>
          <w:cols w:space="720" w:num="1"/>
          <w:docGrid w:linePitch="312" w:charSpace="0"/>
        </w:sectPr>
      </w:pPr>
      <w:bookmarkStart w:id="150" w:name="_Toc217446081"/>
    </w:p>
    <w:p>
      <w:pPr>
        <w:pStyle w:val="2"/>
        <w:spacing w:line="240" w:lineRule="atLeast"/>
        <w:jc w:val="center"/>
        <w:rPr>
          <w:rFonts w:ascii="仿宋" w:hAnsi="仿宋" w:eastAsia="仿宋"/>
          <w:bCs w:val="0"/>
          <w:color w:val="000000" w:themeColor="text1"/>
          <w:sz w:val="36"/>
        </w:rPr>
      </w:pPr>
      <w:bookmarkStart w:id="151" w:name="_Toc2305"/>
      <w:r>
        <w:rPr>
          <w:rFonts w:hint="eastAsia" w:ascii="仿宋" w:hAnsi="仿宋" w:eastAsia="仿宋"/>
          <w:bCs w:val="0"/>
          <w:color w:val="000000" w:themeColor="text1"/>
          <w:sz w:val="36"/>
        </w:rPr>
        <w:t>第三章 投标文件格式</w:t>
      </w:r>
      <w:bookmarkEnd w:id="150"/>
      <w:bookmarkEnd w:id="151"/>
    </w:p>
    <w:p>
      <w:pPr>
        <w:pStyle w:val="3"/>
        <w:spacing w:line="400" w:lineRule="exact"/>
        <w:rPr>
          <w:rFonts w:ascii="仿宋" w:hAnsi="仿宋" w:eastAsia="仿宋"/>
          <w:color w:val="000000" w:themeColor="text1"/>
          <w:szCs w:val="28"/>
        </w:rPr>
      </w:pPr>
      <w:bookmarkStart w:id="152" w:name="_Toc217446082"/>
      <w:r>
        <w:rPr>
          <w:rFonts w:hint="eastAsia" w:ascii="仿宋" w:hAnsi="仿宋" w:eastAsia="仿宋"/>
          <w:color w:val="000000" w:themeColor="text1"/>
          <w:szCs w:val="28"/>
        </w:rPr>
        <w:t>一、投 标 函</w:t>
      </w:r>
      <w:bookmarkEnd w:id="152"/>
    </w:p>
    <w:p>
      <w:pPr>
        <w:pStyle w:val="20"/>
        <w:spacing w:line="400" w:lineRule="exact"/>
        <w:ind w:firstLine="0"/>
        <w:rPr>
          <w:rFonts w:ascii="仿宋" w:hAnsi="仿宋" w:eastAsia="仿宋"/>
          <w:bCs/>
          <w:color w:val="000000" w:themeColor="text1"/>
          <w:sz w:val="24"/>
          <w:szCs w:val="24"/>
          <w:u w:val="single"/>
        </w:rPr>
      </w:pPr>
      <w:r>
        <w:rPr>
          <w:rFonts w:hint="eastAsia" w:ascii="仿宋" w:hAnsi="仿宋" w:eastAsia="仿宋"/>
          <w:bCs/>
          <w:color w:val="000000" w:themeColor="text1"/>
          <w:sz w:val="24"/>
          <w:szCs w:val="24"/>
          <w:u w:val="single"/>
        </w:rPr>
        <w:t>重庆交通职业学院</w:t>
      </w:r>
      <w:r>
        <w:rPr>
          <w:rFonts w:hint="eastAsia" w:ascii="仿宋" w:hAnsi="仿宋" w:eastAsia="仿宋"/>
          <w:bCs/>
          <w:color w:val="000000" w:themeColor="text1"/>
          <w:sz w:val="24"/>
          <w:szCs w:val="24"/>
        </w:rPr>
        <w:t>：</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我方全面研究了 “</w:t>
      </w:r>
      <w:r>
        <w:rPr>
          <w:rFonts w:hint="eastAsia" w:ascii="仿宋" w:hAnsi="仿宋" w:eastAsia="仿宋"/>
          <w:b/>
          <w:bCs w:val="0"/>
          <w:color w:val="000000" w:themeColor="text1"/>
          <w:sz w:val="24"/>
          <w:szCs w:val="24"/>
          <w:lang w:val="en-US" w:eastAsia="zh-CN"/>
        </w:rPr>
        <w:t>自动驾驶</w:t>
      </w:r>
      <w:r>
        <w:rPr>
          <w:rFonts w:ascii="仿宋" w:hAnsi="仿宋" w:eastAsia="仿宋"/>
          <w:b/>
          <w:color w:val="000000" w:themeColor="text1"/>
          <w:sz w:val="24"/>
          <w:szCs w:val="28"/>
        </w:rPr>
        <w:t>技术服务</w:t>
      </w:r>
      <w:r>
        <w:rPr>
          <w:rFonts w:hint="eastAsia" w:ascii="仿宋" w:hAnsi="仿宋" w:eastAsia="仿宋"/>
          <w:bCs/>
          <w:color w:val="000000" w:themeColor="text1"/>
          <w:sz w:val="24"/>
          <w:szCs w:val="24"/>
        </w:rPr>
        <w:t>”项目招标文件，决定参加贵单位组织的本项目投标。</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我方（投标人全名、法定代表人：  ）授权（姓名、职务）代表我方全权处理本项目投标的有关事宜。</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1、我方自愿按照招标文件规定的各项要求向招标人提供</w:t>
      </w:r>
      <w:r>
        <w:rPr>
          <w:rFonts w:ascii="仿宋" w:hAnsi="仿宋" w:eastAsia="仿宋"/>
          <w:color w:val="000000" w:themeColor="text1"/>
          <w:sz w:val="24"/>
          <w:szCs w:val="28"/>
        </w:rPr>
        <w:t>环境感知系统</w:t>
      </w:r>
      <w:r>
        <w:rPr>
          <w:rFonts w:hint="eastAsia" w:ascii="仿宋" w:hAnsi="仿宋" w:eastAsia="仿宋"/>
          <w:color w:val="000000" w:themeColor="text1"/>
          <w:sz w:val="24"/>
          <w:szCs w:val="28"/>
        </w:rPr>
        <w:t>研发</w:t>
      </w:r>
      <w:r>
        <w:rPr>
          <w:rFonts w:ascii="仿宋" w:hAnsi="仿宋" w:eastAsia="仿宋"/>
          <w:color w:val="000000" w:themeColor="text1"/>
          <w:sz w:val="24"/>
          <w:szCs w:val="28"/>
        </w:rPr>
        <w:t>技术服务</w:t>
      </w:r>
      <w:r>
        <w:rPr>
          <w:rFonts w:hint="eastAsia" w:ascii="仿宋" w:hAnsi="仿宋" w:eastAsia="仿宋"/>
          <w:bCs/>
          <w:color w:val="000000" w:themeColor="text1"/>
          <w:sz w:val="24"/>
          <w:szCs w:val="24"/>
        </w:rPr>
        <w:t>，总投标价为人民币   万元（大写：       ）。</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2、一旦我方中标，我方将严格履行合同规定的责任和义务，保证于合同签字生效40日内</w:t>
      </w:r>
      <w:r>
        <w:rPr>
          <w:rFonts w:hint="eastAsia" w:ascii="仿宋" w:hAnsi="仿宋" w:eastAsia="仿宋"/>
          <w:bCs/>
          <w:color w:val="000000" w:themeColor="text1"/>
          <w:sz w:val="24"/>
          <w:szCs w:val="24"/>
          <w:lang w:val="en-US" w:eastAsia="zh-CN"/>
        </w:rPr>
        <w:t>完成自动驾驶技术服务</w:t>
      </w:r>
      <w:bookmarkStart w:id="185" w:name="_GoBack"/>
      <w:bookmarkEnd w:id="185"/>
      <w:r>
        <w:rPr>
          <w:rFonts w:hint="eastAsia" w:ascii="仿宋" w:hAnsi="仿宋" w:eastAsia="仿宋"/>
          <w:bCs/>
          <w:color w:val="000000" w:themeColor="text1"/>
          <w:sz w:val="24"/>
          <w:szCs w:val="24"/>
        </w:rPr>
        <w:t>。</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3、我方同意按照招标文件的要求，不缴纳投标保证金。但承诺：下列任何情况发生时，我方将向招标方缴纳中标总金额1%的违规金：</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（1）如果我方在投标有效期内撤回投标；</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（2）我方提供了虚假响应招标文件的投标文件；</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（3）在投标过程中有违规违纪行为；</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（4）我方在投标有效期内收到中标通知书后，由于我方原因未能按照招标文件要求提交履约保证金或与招标人签订并履行合同。</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4、我方为本项目提交的投标文件正本1份，副本</w:t>
      </w:r>
      <w:r>
        <w:rPr>
          <w:rFonts w:hint="eastAsia" w:ascii="仿宋" w:hAnsi="仿宋" w:eastAsia="仿宋"/>
          <w:color w:val="000000" w:themeColor="text1"/>
          <w:sz w:val="24"/>
          <w:szCs w:val="24"/>
        </w:rPr>
        <w:t>2</w:t>
      </w:r>
      <w:r>
        <w:rPr>
          <w:rFonts w:hint="eastAsia" w:ascii="仿宋" w:hAnsi="仿宋" w:eastAsia="仿宋"/>
          <w:bCs/>
          <w:color w:val="000000" w:themeColor="text1"/>
          <w:sz w:val="24"/>
          <w:szCs w:val="24"/>
        </w:rPr>
        <w:t>份用于开标唱标的“开标一览表”一式一份。</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5、我方承诺投标有效期为开标后 90天（日历日）。</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6、我方愿意提供招标方可能另外要求的，与投标有关的文件资料，并保证我方已提供和将要提供的文件资料是真实、准确的。</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7、我方完全理解招标人不一定将合同授予最低报价的投标人的行为。</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投标人名称：     （盖章）</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法定代表人或授权代表（签字）：</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通讯地址：</w:t>
      </w:r>
    </w:p>
    <w:p>
      <w:pPr>
        <w:pStyle w:val="20"/>
        <w:spacing w:line="400" w:lineRule="exact"/>
        <w:ind w:firstLine="480" w:firstLineChars="200"/>
        <w:rPr>
          <w:rFonts w:ascii="仿宋" w:hAnsi="仿宋" w:eastAsia="仿宋"/>
          <w:bCs/>
          <w:color w:val="000000" w:themeColor="text1"/>
          <w:sz w:val="24"/>
          <w:szCs w:val="24"/>
        </w:rPr>
      </w:pPr>
      <w:r>
        <w:rPr>
          <w:rFonts w:hint="eastAsia" w:ascii="仿宋" w:hAnsi="仿宋" w:eastAsia="仿宋"/>
          <w:bCs/>
          <w:color w:val="000000" w:themeColor="text1"/>
          <w:sz w:val="24"/>
          <w:szCs w:val="24"/>
        </w:rPr>
        <w:t>日    期：</w:t>
      </w:r>
      <w:bookmarkStart w:id="153" w:name="_Toc217446083"/>
    </w:p>
    <w:p>
      <w:pPr>
        <w:pStyle w:val="3"/>
        <w:spacing w:line="400" w:lineRule="exact"/>
        <w:jc w:val="center"/>
        <w:rPr>
          <w:rFonts w:ascii="仿宋" w:hAnsi="仿宋" w:eastAsia="仿宋"/>
          <w:color w:val="000000" w:themeColor="text1"/>
          <w:szCs w:val="28"/>
        </w:rPr>
      </w:pPr>
    </w:p>
    <w:p/>
    <w:bookmarkEnd w:id="100"/>
    <w:bookmarkEnd w:id="153"/>
    <w:p>
      <w:pPr>
        <w:spacing w:line="400" w:lineRule="exact"/>
        <w:outlineLvl w:val="1"/>
        <w:rPr>
          <w:rFonts w:ascii="仿宋" w:hAnsi="仿宋"/>
          <w:b/>
          <w:color w:val="000000" w:themeColor="text1"/>
          <w:sz w:val="32"/>
        </w:rPr>
      </w:pPr>
      <w:bookmarkStart w:id="154" w:name="_Toc217446085"/>
    </w:p>
    <w:p>
      <w:pPr>
        <w:spacing w:line="400" w:lineRule="exact"/>
        <w:outlineLvl w:val="1"/>
        <w:rPr>
          <w:rFonts w:ascii="仿宋" w:hAnsi="仿宋"/>
          <w:b/>
          <w:color w:val="000000" w:themeColor="text1"/>
          <w:sz w:val="32"/>
        </w:rPr>
      </w:pPr>
    </w:p>
    <w:p>
      <w:pPr>
        <w:pStyle w:val="3"/>
        <w:spacing w:line="400" w:lineRule="exact"/>
        <w:jc w:val="center"/>
        <w:rPr>
          <w:rFonts w:ascii="仿宋" w:hAnsi="仿宋" w:eastAsia="仿宋"/>
          <w:bCs w:val="0"/>
          <w:color w:val="000000" w:themeColor="text1"/>
          <w:szCs w:val="28"/>
        </w:rPr>
      </w:pPr>
      <w:r>
        <w:rPr>
          <w:rFonts w:hint="eastAsia" w:ascii="仿宋" w:hAnsi="仿宋" w:eastAsia="仿宋"/>
          <w:bCs w:val="0"/>
          <w:color w:val="000000" w:themeColor="text1"/>
          <w:szCs w:val="28"/>
        </w:rPr>
        <w:t>二、开标一览表</w:t>
      </w:r>
      <w:bookmarkEnd w:id="154"/>
    </w:p>
    <w:p>
      <w:pPr>
        <w:spacing w:line="400" w:lineRule="exact"/>
        <w:rPr>
          <w:rFonts w:ascii="仿宋" w:hAnsi="仿宋" w:eastAsia="仿宋"/>
          <w:color w:val="000000" w:themeColor="text1"/>
          <w:sz w:val="28"/>
        </w:rPr>
      </w:pPr>
    </w:p>
    <w:p>
      <w:pPr>
        <w:spacing w:line="360" w:lineRule="auto"/>
        <w:rPr>
          <w:rFonts w:ascii="仿宋" w:hAnsi="仿宋" w:eastAsia="仿宋"/>
          <w:color w:val="000000" w:themeColor="text1"/>
          <w:sz w:val="28"/>
        </w:rPr>
      </w:pPr>
      <w:bookmarkStart w:id="155" w:name="PO_默认文件内容_9"/>
      <w:r>
        <w:rPr>
          <w:rFonts w:hint="eastAsia" w:ascii="仿宋" w:hAnsi="仿宋" w:eastAsia="仿宋"/>
          <w:color w:val="000000" w:themeColor="text1"/>
          <w:sz w:val="28"/>
        </w:rPr>
        <w:t>项目名称：</w:t>
      </w:r>
    </w:p>
    <w:tbl>
      <w:tblPr>
        <w:tblStyle w:val="3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104"/>
        <w:gridCol w:w="2416"/>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526" w:type="dxa"/>
            <w:vAlign w:val="center"/>
          </w:tcPr>
          <w:p>
            <w:pPr>
              <w:spacing w:line="500" w:lineRule="exact"/>
              <w:jc w:val="center"/>
              <w:rPr>
                <w:rFonts w:hAnsi="宋体"/>
                <w:sz w:val="21"/>
                <w:szCs w:val="28"/>
              </w:rPr>
            </w:pPr>
            <w:r>
              <w:rPr>
                <w:rFonts w:hint="eastAsia" w:hAnsi="宋体"/>
                <w:sz w:val="21"/>
                <w:szCs w:val="28"/>
              </w:rPr>
              <w:t>投标人全称</w:t>
            </w:r>
          </w:p>
        </w:tc>
        <w:tc>
          <w:tcPr>
            <w:tcW w:w="8102" w:type="dxa"/>
            <w:gridSpan w:val="3"/>
            <w:vAlign w:val="center"/>
          </w:tcPr>
          <w:p>
            <w:pPr>
              <w:spacing w:line="500" w:lineRule="exact"/>
              <w:jc w:val="center"/>
              <w:rPr>
                <w:rFonts w:hAnsi="宋体"/>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1526" w:type="dxa"/>
            <w:vAlign w:val="center"/>
          </w:tcPr>
          <w:p>
            <w:pPr>
              <w:spacing w:line="500" w:lineRule="exact"/>
              <w:jc w:val="center"/>
              <w:rPr>
                <w:rFonts w:hAnsi="宋体"/>
                <w:sz w:val="21"/>
                <w:szCs w:val="28"/>
              </w:rPr>
            </w:pPr>
            <w:r>
              <w:rPr>
                <w:rFonts w:hint="eastAsia" w:hAnsi="宋体"/>
                <w:sz w:val="21"/>
                <w:szCs w:val="28"/>
              </w:rPr>
              <w:t>序号</w:t>
            </w:r>
          </w:p>
        </w:tc>
        <w:tc>
          <w:tcPr>
            <w:tcW w:w="4104" w:type="dxa"/>
            <w:vAlign w:val="center"/>
          </w:tcPr>
          <w:p>
            <w:pPr>
              <w:spacing w:line="500" w:lineRule="exact"/>
              <w:jc w:val="center"/>
              <w:rPr>
                <w:rFonts w:hAnsi="宋体"/>
                <w:sz w:val="21"/>
                <w:szCs w:val="28"/>
              </w:rPr>
            </w:pPr>
            <w:r>
              <w:rPr>
                <w:rFonts w:hint="eastAsia" w:hAnsi="宋体"/>
                <w:sz w:val="21"/>
                <w:szCs w:val="28"/>
              </w:rPr>
              <w:t>项目名称</w:t>
            </w:r>
          </w:p>
        </w:tc>
        <w:tc>
          <w:tcPr>
            <w:tcW w:w="2416" w:type="dxa"/>
            <w:vAlign w:val="center"/>
          </w:tcPr>
          <w:p>
            <w:pPr>
              <w:spacing w:line="240" w:lineRule="atLeast"/>
              <w:jc w:val="center"/>
              <w:rPr>
                <w:rFonts w:hAnsi="宋体"/>
                <w:sz w:val="21"/>
                <w:szCs w:val="28"/>
              </w:rPr>
            </w:pPr>
            <w:r>
              <w:rPr>
                <w:rFonts w:hint="eastAsia" w:hAnsi="宋体"/>
                <w:sz w:val="21"/>
                <w:szCs w:val="28"/>
              </w:rPr>
              <w:t>投标报价（小写）</w:t>
            </w:r>
          </w:p>
        </w:tc>
        <w:tc>
          <w:tcPr>
            <w:tcW w:w="1582" w:type="dxa"/>
            <w:vAlign w:val="center"/>
          </w:tcPr>
          <w:p>
            <w:pPr>
              <w:spacing w:line="500" w:lineRule="exact"/>
              <w:jc w:val="center"/>
              <w:rPr>
                <w:rFonts w:hAnsi="宋体"/>
                <w:sz w:val="21"/>
                <w:szCs w:val="28"/>
              </w:rPr>
            </w:pPr>
            <w:r>
              <w:rPr>
                <w:rFonts w:hint="eastAsia" w:hAnsi="宋体"/>
                <w:sz w:val="21"/>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1526" w:type="dxa"/>
            <w:tcBorders>
              <w:bottom w:val="single" w:color="auto" w:sz="4" w:space="0"/>
            </w:tcBorders>
            <w:vAlign w:val="center"/>
          </w:tcPr>
          <w:p>
            <w:pPr>
              <w:tabs>
                <w:tab w:val="left" w:pos="497"/>
              </w:tabs>
              <w:spacing w:line="500" w:lineRule="exact"/>
              <w:jc w:val="left"/>
              <w:rPr>
                <w:rFonts w:hAnsi="宋体"/>
                <w:sz w:val="21"/>
                <w:szCs w:val="28"/>
              </w:rPr>
            </w:pPr>
            <w:r>
              <w:rPr>
                <w:rFonts w:hint="eastAsia" w:hAnsi="宋体"/>
                <w:sz w:val="21"/>
                <w:szCs w:val="28"/>
              </w:rPr>
              <w:tab/>
            </w:r>
            <w:r>
              <w:rPr>
                <w:rFonts w:hint="eastAsia" w:hAnsi="宋体"/>
                <w:sz w:val="21"/>
                <w:szCs w:val="28"/>
              </w:rPr>
              <w:t>1</w:t>
            </w:r>
          </w:p>
        </w:tc>
        <w:tc>
          <w:tcPr>
            <w:tcW w:w="4104" w:type="dxa"/>
            <w:tcBorders>
              <w:bottom w:val="single" w:color="auto" w:sz="4" w:space="0"/>
            </w:tcBorders>
            <w:vAlign w:val="center"/>
          </w:tcPr>
          <w:p>
            <w:pPr>
              <w:spacing w:line="500" w:lineRule="exact"/>
              <w:jc w:val="center"/>
              <w:rPr>
                <w:rFonts w:hAnsi="宋体"/>
                <w:sz w:val="21"/>
                <w:szCs w:val="28"/>
              </w:rPr>
            </w:pPr>
            <w:r>
              <w:rPr>
                <w:rFonts w:hint="eastAsia" w:ascii="仿宋" w:hAnsi="仿宋" w:eastAsia="仿宋"/>
                <w:b/>
                <w:color w:val="000000" w:themeColor="text1"/>
                <w:sz w:val="24"/>
                <w:szCs w:val="28"/>
                <w:lang w:val="en-US" w:eastAsia="zh-CN"/>
              </w:rPr>
              <w:t>自动驾驶</w:t>
            </w:r>
            <w:r>
              <w:rPr>
                <w:rFonts w:ascii="仿宋" w:hAnsi="仿宋" w:eastAsia="仿宋"/>
                <w:b/>
                <w:color w:val="000000" w:themeColor="text1"/>
                <w:sz w:val="24"/>
                <w:szCs w:val="28"/>
              </w:rPr>
              <w:t>技术服务</w:t>
            </w:r>
          </w:p>
        </w:tc>
        <w:tc>
          <w:tcPr>
            <w:tcW w:w="2416" w:type="dxa"/>
            <w:tcBorders>
              <w:bottom w:val="single" w:color="auto" w:sz="4" w:space="0"/>
            </w:tcBorders>
          </w:tcPr>
          <w:p>
            <w:pPr>
              <w:spacing w:line="500" w:lineRule="exact"/>
              <w:rPr>
                <w:rFonts w:hAnsi="宋体"/>
                <w:sz w:val="21"/>
                <w:szCs w:val="28"/>
              </w:rPr>
            </w:pPr>
          </w:p>
        </w:tc>
        <w:tc>
          <w:tcPr>
            <w:tcW w:w="1582" w:type="dxa"/>
            <w:tcBorders>
              <w:bottom w:val="single" w:color="auto" w:sz="4" w:space="0"/>
            </w:tcBorders>
          </w:tcPr>
          <w:p>
            <w:pPr>
              <w:spacing w:line="500" w:lineRule="exact"/>
              <w:rPr>
                <w:rFonts w:hAnsi="宋体"/>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7" w:hRule="atLeast"/>
        </w:trPr>
        <w:tc>
          <w:tcPr>
            <w:tcW w:w="9628" w:type="dxa"/>
            <w:gridSpan w:val="4"/>
            <w:tcBorders>
              <w:bottom w:val="single" w:color="auto" w:sz="4" w:space="0"/>
            </w:tcBorders>
            <w:vAlign w:val="center"/>
          </w:tcPr>
          <w:p>
            <w:pPr>
              <w:spacing w:line="500" w:lineRule="exact"/>
              <w:rPr>
                <w:rFonts w:hAnsi="宋体"/>
                <w:sz w:val="21"/>
                <w:szCs w:val="28"/>
              </w:rPr>
            </w:pPr>
            <w:r>
              <w:rPr>
                <w:rFonts w:hAnsi="宋体"/>
                <w:sz w:val="21"/>
                <w:szCs w:val="28"/>
              </w:rPr>
              <w:t>投标报价（大写）：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628" w:type="dxa"/>
            <w:gridSpan w:val="4"/>
            <w:vAlign w:val="center"/>
          </w:tcPr>
          <w:p>
            <w:pPr>
              <w:pStyle w:val="19"/>
              <w:spacing w:line="500" w:lineRule="exact"/>
              <w:rPr>
                <w:rFonts w:hAnsi="宋体"/>
                <w:sz w:val="21"/>
                <w:szCs w:val="28"/>
              </w:rPr>
            </w:pPr>
            <w:r>
              <w:rPr>
                <w:rFonts w:hint="eastAsia" w:hAnsi="宋体"/>
                <w:sz w:val="21"/>
                <w:szCs w:val="28"/>
              </w:rPr>
              <w:t xml:space="preserve">备注： </w:t>
            </w:r>
          </w:p>
        </w:tc>
      </w:tr>
    </w:tbl>
    <w:p>
      <w:pPr>
        <w:spacing w:line="360" w:lineRule="auto"/>
        <w:rPr>
          <w:rFonts w:ascii="仿宋" w:hAnsi="仿宋" w:eastAsia="仿宋"/>
          <w:color w:val="000000" w:themeColor="text1"/>
          <w:sz w:val="28"/>
        </w:rPr>
      </w:pPr>
    </w:p>
    <w:p>
      <w:pPr>
        <w:spacing w:line="360" w:lineRule="auto"/>
        <w:rPr>
          <w:rFonts w:ascii="仿宋" w:hAnsi="仿宋" w:eastAsia="仿宋"/>
          <w:color w:val="000000" w:themeColor="text1"/>
          <w:sz w:val="28"/>
        </w:rPr>
      </w:pPr>
      <w:r>
        <w:rPr>
          <w:rFonts w:hint="eastAsia" w:ascii="仿宋" w:hAnsi="仿宋" w:eastAsia="仿宋"/>
          <w:color w:val="000000" w:themeColor="text1"/>
          <w:sz w:val="28"/>
        </w:rPr>
        <w:t xml:space="preserve">                                       </w:t>
      </w:r>
    </w:p>
    <w:p>
      <w:pPr>
        <w:spacing w:line="400" w:lineRule="exact"/>
        <w:ind w:left="840" w:hanging="840" w:hangingChars="350"/>
        <w:jc w:val="left"/>
        <w:rPr>
          <w:rFonts w:ascii="仿宋" w:hAnsi="仿宋" w:eastAsia="仿宋"/>
          <w:color w:val="000000" w:themeColor="text1"/>
          <w:sz w:val="24"/>
        </w:rPr>
      </w:pPr>
      <w:r>
        <w:rPr>
          <w:rFonts w:hint="eastAsia" w:ascii="仿宋" w:hAnsi="仿宋" w:eastAsia="仿宋"/>
          <w:color w:val="000000" w:themeColor="text1"/>
          <w:sz w:val="24"/>
        </w:rPr>
        <w:t>注：报价是最终用户验收合格后的总价，包括系统开发、保险、培训、税费、招标文件规定的其它费用。</w:t>
      </w:r>
    </w:p>
    <w:p>
      <w:pPr>
        <w:adjustRightInd w:val="0"/>
        <w:spacing w:line="400" w:lineRule="exact"/>
        <w:ind w:firstLine="480" w:firstLineChars="200"/>
        <w:jc w:val="left"/>
        <w:rPr>
          <w:rFonts w:ascii="仿宋" w:hAnsi="仿宋" w:eastAsia="仿宋"/>
          <w:color w:val="000000" w:themeColor="text1"/>
          <w:sz w:val="24"/>
        </w:rPr>
      </w:pPr>
    </w:p>
    <w:p>
      <w:pPr>
        <w:spacing w:line="400" w:lineRule="exact"/>
        <w:ind w:left="840" w:hanging="840" w:hangingChars="350"/>
        <w:jc w:val="left"/>
        <w:rPr>
          <w:rFonts w:ascii="仿宋" w:hAnsi="仿宋" w:eastAsia="仿宋"/>
          <w:color w:val="000000" w:themeColor="text1"/>
          <w:sz w:val="24"/>
        </w:rPr>
      </w:pPr>
    </w:p>
    <w:p>
      <w:pPr>
        <w:spacing w:line="400" w:lineRule="exact"/>
        <w:ind w:left="840" w:hanging="840" w:hangingChars="350"/>
        <w:jc w:val="left"/>
        <w:rPr>
          <w:rFonts w:ascii="仿宋" w:hAnsi="仿宋" w:eastAsia="仿宋"/>
          <w:color w:val="000000" w:themeColor="text1"/>
          <w:sz w:val="24"/>
        </w:rPr>
      </w:pPr>
    </w:p>
    <w:p>
      <w:pPr>
        <w:spacing w:line="400" w:lineRule="exact"/>
        <w:ind w:left="840" w:hanging="840" w:hangingChars="350"/>
        <w:jc w:val="left"/>
        <w:rPr>
          <w:rFonts w:ascii="仿宋" w:hAnsi="仿宋" w:eastAsia="仿宋"/>
          <w:color w:val="000000" w:themeColor="text1"/>
          <w:sz w:val="24"/>
        </w:rPr>
      </w:pPr>
    </w:p>
    <w:p>
      <w:pPr>
        <w:spacing w:line="400" w:lineRule="exact"/>
        <w:ind w:firstLine="480" w:firstLineChars="200"/>
        <w:jc w:val="left"/>
        <w:rPr>
          <w:rFonts w:ascii="仿宋" w:hAnsi="仿宋" w:eastAsia="仿宋"/>
          <w:color w:val="000000" w:themeColor="text1"/>
          <w:sz w:val="24"/>
        </w:rPr>
      </w:pPr>
    </w:p>
    <w:p>
      <w:pPr>
        <w:adjustRightInd w:val="0"/>
        <w:spacing w:line="400" w:lineRule="exact"/>
        <w:ind w:firstLine="480" w:firstLineChars="200"/>
        <w:jc w:val="left"/>
        <w:rPr>
          <w:rFonts w:ascii="仿宋" w:hAnsi="仿宋" w:eastAsia="仿宋"/>
          <w:color w:val="000000" w:themeColor="text1"/>
          <w:sz w:val="24"/>
        </w:rPr>
      </w:pPr>
      <w:r>
        <w:rPr>
          <w:rFonts w:hint="eastAsia" w:ascii="仿宋" w:hAnsi="仿宋" w:eastAsia="仿宋"/>
          <w:color w:val="000000" w:themeColor="text1"/>
          <w:sz w:val="24"/>
        </w:rPr>
        <w:t>投标人名称：                       （盖章）</w:t>
      </w:r>
    </w:p>
    <w:p>
      <w:pPr>
        <w:adjustRightInd w:val="0"/>
        <w:spacing w:line="400" w:lineRule="exact"/>
        <w:ind w:firstLine="480" w:firstLineChars="200"/>
        <w:jc w:val="left"/>
        <w:rPr>
          <w:rFonts w:ascii="仿宋" w:hAnsi="仿宋" w:eastAsia="仿宋"/>
          <w:color w:val="000000" w:themeColor="text1"/>
          <w:sz w:val="24"/>
        </w:rPr>
      </w:pPr>
      <w:r>
        <w:rPr>
          <w:rFonts w:hint="eastAsia" w:ascii="仿宋" w:hAnsi="仿宋" w:eastAsia="仿宋"/>
          <w:color w:val="000000" w:themeColor="text1"/>
          <w:sz w:val="24"/>
        </w:rPr>
        <w:t>法定代表人或授权代表（签字）：</w:t>
      </w:r>
    </w:p>
    <w:p>
      <w:pPr>
        <w:adjustRightInd w:val="0"/>
        <w:spacing w:line="400" w:lineRule="exact"/>
        <w:ind w:firstLine="480" w:firstLineChars="200"/>
        <w:jc w:val="left"/>
        <w:rPr>
          <w:rFonts w:ascii="仿宋" w:hAnsi="仿宋" w:eastAsia="仿宋"/>
          <w:color w:val="000000" w:themeColor="text1"/>
          <w:sz w:val="24"/>
        </w:rPr>
      </w:pPr>
      <w:r>
        <w:rPr>
          <w:rFonts w:hint="eastAsia" w:ascii="仿宋" w:hAnsi="仿宋" w:eastAsia="仿宋"/>
          <w:color w:val="000000" w:themeColor="text1"/>
          <w:sz w:val="24"/>
        </w:rPr>
        <w:t>投标日期：    年   月   日</w:t>
      </w:r>
    </w:p>
    <w:bookmarkEnd w:id="155"/>
    <w:p>
      <w:pPr>
        <w:pStyle w:val="3"/>
        <w:spacing w:line="400" w:lineRule="exact"/>
        <w:jc w:val="center"/>
        <w:rPr>
          <w:rFonts w:ascii="仿宋" w:hAnsi="仿宋" w:eastAsia="仿宋"/>
          <w:bCs w:val="0"/>
          <w:color w:val="000000" w:themeColor="text1"/>
          <w:szCs w:val="28"/>
        </w:rPr>
      </w:pPr>
      <w:bookmarkStart w:id="156" w:name="_Toc217446086"/>
      <w:bookmarkStart w:id="157" w:name="PO_默认文件内容_10"/>
    </w:p>
    <w:p>
      <w:pPr>
        <w:pStyle w:val="3"/>
        <w:spacing w:line="400" w:lineRule="exact"/>
        <w:jc w:val="center"/>
        <w:rPr>
          <w:rFonts w:ascii="仿宋" w:hAnsi="仿宋" w:eastAsia="仿宋"/>
          <w:bCs w:val="0"/>
          <w:color w:val="000000" w:themeColor="text1"/>
          <w:szCs w:val="28"/>
        </w:rPr>
      </w:pPr>
      <w:r>
        <w:rPr>
          <w:rFonts w:hint="eastAsia" w:ascii="仿宋" w:hAnsi="仿宋" w:eastAsia="仿宋"/>
          <w:bCs w:val="0"/>
          <w:color w:val="000000" w:themeColor="text1"/>
          <w:szCs w:val="28"/>
        </w:rPr>
        <w:t>三、分项报价明细表</w:t>
      </w:r>
      <w:bookmarkEnd w:id="156"/>
    </w:p>
    <w:p>
      <w:pPr>
        <w:spacing w:line="400" w:lineRule="exact"/>
        <w:ind w:left="840" w:hanging="840" w:hangingChars="350"/>
        <w:rPr>
          <w:rFonts w:ascii="仿宋" w:hAnsi="仿宋" w:eastAsia="仿宋"/>
          <w:color w:val="000000" w:themeColor="text1"/>
          <w:sz w:val="24"/>
        </w:rPr>
      </w:pPr>
    </w:p>
    <w:tbl>
      <w:tblPr>
        <w:tblStyle w:val="31"/>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602"/>
        <w:gridCol w:w="1461"/>
        <w:gridCol w:w="976"/>
        <w:gridCol w:w="1695"/>
        <w:gridCol w:w="1616"/>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3" w:type="dxa"/>
            <w:vAlign w:val="center"/>
          </w:tcPr>
          <w:p>
            <w:pPr>
              <w:spacing w:line="400" w:lineRule="exact"/>
              <w:jc w:val="center"/>
              <w:rPr>
                <w:rFonts w:ascii="仿宋" w:hAnsi="仿宋" w:eastAsia="仿宋"/>
                <w:color w:val="000000" w:themeColor="text1"/>
                <w:sz w:val="21"/>
                <w:szCs w:val="21"/>
              </w:rPr>
            </w:pPr>
            <w:r>
              <w:rPr>
                <w:rFonts w:hint="eastAsia" w:ascii="仿宋" w:hAnsi="仿宋" w:eastAsia="仿宋"/>
                <w:color w:val="000000" w:themeColor="text1"/>
                <w:sz w:val="21"/>
                <w:szCs w:val="21"/>
              </w:rPr>
              <w:t>序号</w:t>
            </w:r>
          </w:p>
        </w:tc>
        <w:tc>
          <w:tcPr>
            <w:tcW w:w="1602" w:type="dxa"/>
            <w:vAlign w:val="center"/>
          </w:tcPr>
          <w:p>
            <w:pPr>
              <w:spacing w:line="400" w:lineRule="exact"/>
              <w:jc w:val="center"/>
              <w:rPr>
                <w:rFonts w:ascii="仿宋" w:hAnsi="仿宋" w:eastAsia="仿宋"/>
                <w:color w:val="000000" w:themeColor="text1"/>
                <w:sz w:val="21"/>
                <w:szCs w:val="21"/>
              </w:rPr>
            </w:pPr>
            <w:r>
              <w:rPr>
                <w:rFonts w:hint="eastAsia" w:ascii="仿宋" w:hAnsi="仿宋" w:eastAsia="仿宋"/>
                <w:color w:val="000000" w:themeColor="text1"/>
                <w:sz w:val="21"/>
                <w:szCs w:val="21"/>
              </w:rPr>
              <w:t>名称</w:t>
            </w:r>
          </w:p>
        </w:tc>
        <w:tc>
          <w:tcPr>
            <w:tcW w:w="1461" w:type="dxa"/>
            <w:vAlign w:val="center"/>
          </w:tcPr>
          <w:p>
            <w:pPr>
              <w:spacing w:line="400" w:lineRule="exact"/>
              <w:jc w:val="center"/>
              <w:rPr>
                <w:rFonts w:ascii="仿宋" w:hAnsi="仿宋" w:eastAsia="仿宋"/>
                <w:color w:val="000000" w:themeColor="text1"/>
                <w:sz w:val="21"/>
                <w:szCs w:val="21"/>
              </w:rPr>
            </w:pPr>
            <w:r>
              <w:rPr>
                <w:rFonts w:hint="eastAsia" w:ascii="仿宋" w:hAnsi="仿宋" w:eastAsia="仿宋"/>
                <w:color w:val="000000" w:themeColor="text1"/>
                <w:sz w:val="21"/>
                <w:szCs w:val="21"/>
              </w:rPr>
              <w:t>单位</w:t>
            </w:r>
          </w:p>
        </w:tc>
        <w:tc>
          <w:tcPr>
            <w:tcW w:w="976" w:type="dxa"/>
            <w:vAlign w:val="center"/>
          </w:tcPr>
          <w:p>
            <w:pPr>
              <w:spacing w:line="400" w:lineRule="exact"/>
              <w:jc w:val="center"/>
              <w:rPr>
                <w:rFonts w:ascii="仿宋" w:hAnsi="仿宋" w:eastAsia="仿宋"/>
                <w:color w:val="000000" w:themeColor="text1"/>
                <w:sz w:val="21"/>
                <w:szCs w:val="21"/>
              </w:rPr>
            </w:pPr>
            <w:r>
              <w:rPr>
                <w:rFonts w:hint="eastAsia" w:ascii="仿宋" w:hAnsi="仿宋" w:eastAsia="仿宋"/>
                <w:color w:val="000000" w:themeColor="text1"/>
                <w:sz w:val="21"/>
                <w:szCs w:val="21"/>
              </w:rPr>
              <w:t>数量</w:t>
            </w:r>
          </w:p>
        </w:tc>
        <w:tc>
          <w:tcPr>
            <w:tcW w:w="1695" w:type="dxa"/>
            <w:vAlign w:val="center"/>
          </w:tcPr>
          <w:p>
            <w:pPr>
              <w:spacing w:line="400" w:lineRule="exact"/>
              <w:jc w:val="center"/>
              <w:rPr>
                <w:rFonts w:ascii="仿宋" w:hAnsi="仿宋" w:eastAsia="仿宋"/>
                <w:color w:val="000000" w:themeColor="text1"/>
                <w:sz w:val="21"/>
                <w:szCs w:val="21"/>
              </w:rPr>
            </w:pPr>
            <w:r>
              <w:rPr>
                <w:rFonts w:hint="eastAsia" w:ascii="仿宋" w:hAnsi="仿宋" w:eastAsia="仿宋"/>
                <w:color w:val="000000" w:themeColor="text1"/>
                <w:sz w:val="21"/>
                <w:szCs w:val="21"/>
              </w:rPr>
              <w:t>单价（万元）</w:t>
            </w:r>
          </w:p>
        </w:tc>
        <w:tc>
          <w:tcPr>
            <w:tcW w:w="1616" w:type="dxa"/>
            <w:vAlign w:val="center"/>
          </w:tcPr>
          <w:p>
            <w:pPr>
              <w:spacing w:line="400" w:lineRule="exact"/>
              <w:jc w:val="center"/>
              <w:rPr>
                <w:rFonts w:ascii="仿宋" w:hAnsi="仿宋" w:eastAsia="仿宋"/>
                <w:color w:val="000000" w:themeColor="text1"/>
                <w:sz w:val="21"/>
                <w:szCs w:val="21"/>
              </w:rPr>
            </w:pPr>
            <w:r>
              <w:rPr>
                <w:rFonts w:hint="eastAsia" w:ascii="仿宋" w:hAnsi="仿宋" w:eastAsia="仿宋"/>
                <w:color w:val="000000" w:themeColor="text1"/>
                <w:sz w:val="21"/>
                <w:szCs w:val="21"/>
              </w:rPr>
              <w:t>金额（万元）</w:t>
            </w:r>
          </w:p>
        </w:tc>
        <w:tc>
          <w:tcPr>
            <w:tcW w:w="1242" w:type="dxa"/>
            <w:vAlign w:val="center"/>
          </w:tcPr>
          <w:p>
            <w:pPr>
              <w:spacing w:line="400" w:lineRule="exact"/>
              <w:jc w:val="center"/>
              <w:rPr>
                <w:rFonts w:ascii="仿宋" w:hAnsi="仿宋" w:eastAsia="仿宋"/>
                <w:color w:val="000000" w:themeColor="text1"/>
                <w:sz w:val="21"/>
                <w:szCs w:val="21"/>
              </w:rPr>
            </w:pPr>
            <w:r>
              <w:rPr>
                <w:rFonts w:hint="eastAsia" w:ascii="仿宋" w:hAnsi="仿宋" w:eastAsia="仿宋"/>
                <w:color w:val="000000" w:themeColor="text1"/>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color w:val="000000" w:themeColor="text1"/>
                <w:sz w:val="21"/>
                <w:szCs w:val="21"/>
              </w:rPr>
            </w:pPr>
            <w:r>
              <w:rPr>
                <w:rFonts w:hint="eastAsia" w:ascii="仿宋" w:hAnsi="仿宋" w:eastAsia="仿宋"/>
                <w:color w:val="000000" w:themeColor="text1"/>
                <w:sz w:val="21"/>
                <w:szCs w:val="21"/>
              </w:rPr>
              <w:t>1</w:t>
            </w:r>
          </w:p>
        </w:tc>
        <w:tc>
          <w:tcPr>
            <w:tcW w:w="1602" w:type="dxa"/>
          </w:tcPr>
          <w:p>
            <w:pPr>
              <w:pStyle w:val="87"/>
              <w:spacing w:before="134"/>
              <w:ind w:firstLine="240" w:firstLineChars="100"/>
              <w:rPr>
                <w:rFonts w:ascii="仿宋" w:hAnsi="仿宋" w:eastAsia="仿宋" w:cs="仿宋"/>
                <w:color w:val="000000" w:themeColor="text1"/>
                <w:sz w:val="24"/>
                <w:szCs w:val="24"/>
              </w:rPr>
            </w:pPr>
            <w:r>
              <w:rPr>
                <w:rFonts w:hint="eastAsia" w:ascii="仿宋" w:hAnsi="仿宋" w:eastAsia="仿宋"/>
                <w:color w:val="000000" w:themeColor="text1"/>
                <w:sz w:val="24"/>
                <w:szCs w:val="28"/>
              </w:rPr>
              <w:t>培训费</w:t>
            </w:r>
          </w:p>
        </w:tc>
        <w:tc>
          <w:tcPr>
            <w:tcW w:w="1461" w:type="dxa"/>
            <w:vAlign w:val="center"/>
          </w:tcPr>
          <w:p>
            <w:pPr>
              <w:snapToGrid w:val="0"/>
              <w:spacing w:line="400" w:lineRule="exact"/>
              <w:jc w:val="center"/>
              <w:rPr>
                <w:rFonts w:ascii="仿宋" w:hAnsi="仿宋" w:eastAsia="仿宋"/>
                <w:color w:val="000000" w:themeColor="text1"/>
                <w:sz w:val="21"/>
                <w:szCs w:val="21"/>
              </w:rPr>
            </w:pPr>
            <w:r>
              <w:rPr>
                <w:rFonts w:hint="eastAsia" w:ascii="仿宋" w:hAnsi="仿宋" w:eastAsia="仿宋"/>
                <w:color w:val="000000" w:themeColor="text1"/>
                <w:sz w:val="21"/>
                <w:szCs w:val="21"/>
              </w:rPr>
              <w:t>/</w:t>
            </w:r>
          </w:p>
        </w:tc>
        <w:tc>
          <w:tcPr>
            <w:tcW w:w="976" w:type="dxa"/>
            <w:vAlign w:val="center"/>
          </w:tcPr>
          <w:p>
            <w:pPr>
              <w:snapToGrid w:val="0"/>
              <w:spacing w:line="400" w:lineRule="exact"/>
              <w:jc w:val="center"/>
              <w:rPr>
                <w:rFonts w:ascii="仿宋" w:hAnsi="仿宋" w:eastAsia="仿宋"/>
                <w:color w:val="000000" w:themeColor="text1"/>
                <w:sz w:val="21"/>
                <w:szCs w:val="21"/>
              </w:rPr>
            </w:pPr>
            <w:r>
              <w:rPr>
                <w:rFonts w:hint="eastAsia" w:ascii="仿宋" w:hAnsi="仿宋" w:eastAsia="仿宋"/>
                <w:color w:val="000000" w:themeColor="text1"/>
                <w:sz w:val="21"/>
                <w:szCs w:val="21"/>
              </w:rPr>
              <w:t>/</w:t>
            </w:r>
          </w:p>
        </w:tc>
        <w:tc>
          <w:tcPr>
            <w:tcW w:w="1695" w:type="dxa"/>
            <w:vAlign w:val="center"/>
          </w:tcPr>
          <w:p>
            <w:pPr>
              <w:snapToGrid w:val="0"/>
              <w:spacing w:line="400" w:lineRule="exact"/>
              <w:jc w:val="center"/>
              <w:rPr>
                <w:rFonts w:ascii="仿宋" w:hAnsi="仿宋" w:eastAsia="仿宋"/>
                <w:color w:val="000000" w:themeColor="text1"/>
                <w:sz w:val="21"/>
                <w:szCs w:val="21"/>
              </w:rPr>
            </w:pPr>
          </w:p>
        </w:tc>
        <w:tc>
          <w:tcPr>
            <w:tcW w:w="1616" w:type="dxa"/>
            <w:vAlign w:val="center"/>
          </w:tcPr>
          <w:p>
            <w:pPr>
              <w:snapToGrid w:val="0"/>
              <w:spacing w:line="400" w:lineRule="exact"/>
              <w:jc w:val="center"/>
              <w:rPr>
                <w:rFonts w:ascii="仿宋" w:hAnsi="仿宋" w:eastAsia="仿宋"/>
                <w:color w:val="000000" w:themeColor="text1"/>
                <w:sz w:val="21"/>
                <w:szCs w:val="21"/>
              </w:rPr>
            </w:pPr>
          </w:p>
        </w:tc>
        <w:tc>
          <w:tcPr>
            <w:tcW w:w="1242" w:type="dxa"/>
            <w:vAlign w:val="center"/>
          </w:tcPr>
          <w:p>
            <w:pPr>
              <w:snapToGrid w:val="0"/>
              <w:spacing w:line="400" w:lineRule="exact"/>
              <w:jc w:val="center"/>
              <w:rPr>
                <w:rFonts w:ascii="仿宋" w:hAnsi="仿宋" w:eastAsia="仿宋"/>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pacing w:line="400" w:lineRule="exact"/>
              <w:jc w:val="center"/>
              <w:rPr>
                <w:rFonts w:ascii="Times New Roman" w:eastAsia="仿宋"/>
                <w:color w:val="000000" w:themeColor="text1"/>
                <w:sz w:val="21"/>
                <w:szCs w:val="21"/>
              </w:rPr>
            </w:pPr>
            <w:r>
              <w:rPr>
                <w:rFonts w:hint="eastAsia" w:ascii="Times New Roman" w:eastAsia="仿宋"/>
                <w:color w:val="000000" w:themeColor="text1"/>
                <w:sz w:val="21"/>
                <w:szCs w:val="21"/>
              </w:rPr>
              <w:t>2</w:t>
            </w:r>
          </w:p>
        </w:tc>
        <w:tc>
          <w:tcPr>
            <w:tcW w:w="1602" w:type="dxa"/>
          </w:tcPr>
          <w:p>
            <w:pPr>
              <w:pStyle w:val="87"/>
              <w:spacing w:before="135"/>
              <w:jc w:val="center"/>
              <w:rPr>
                <w:rFonts w:ascii="仿宋" w:hAnsi="仿宋" w:eastAsia="仿宋" w:cs="仿宋"/>
                <w:color w:val="000000" w:themeColor="text1"/>
                <w:sz w:val="24"/>
                <w:szCs w:val="24"/>
              </w:rPr>
            </w:pPr>
            <w:r>
              <w:rPr>
                <w:rFonts w:ascii="仿宋" w:hAnsi="仿宋" w:eastAsia="仿宋" w:cs="仿宋"/>
                <w:color w:val="000000" w:themeColor="text1"/>
                <w:sz w:val="24"/>
                <w:szCs w:val="24"/>
              </w:rPr>
              <w:t>研发指导</w:t>
            </w:r>
          </w:p>
        </w:tc>
        <w:tc>
          <w:tcPr>
            <w:tcW w:w="1461" w:type="dxa"/>
            <w:vAlign w:val="center"/>
          </w:tcPr>
          <w:p>
            <w:pPr>
              <w:spacing w:line="400" w:lineRule="exact"/>
              <w:jc w:val="center"/>
              <w:rPr>
                <w:rFonts w:ascii="Times New Roman" w:eastAsia="仿宋"/>
                <w:color w:val="000000" w:themeColor="text1"/>
                <w:sz w:val="21"/>
                <w:szCs w:val="21"/>
              </w:rPr>
            </w:pPr>
            <w:r>
              <w:rPr>
                <w:rFonts w:hint="eastAsia" w:ascii="Times New Roman" w:eastAsia="仿宋"/>
                <w:color w:val="000000" w:themeColor="text1"/>
                <w:sz w:val="21"/>
                <w:szCs w:val="21"/>
              </w:rPr>
              <w:t>/</w:t>
            </w:r>
          </w:p>
        </w:tc>
        <w:tc>
          <w:tcPr>
            <w:tcW w:w="976" w:type="dxa"/>
            <w:vAlign w:val="center"/>
          </w:tcPr>
          <w:p>
            <w:pPr>
              <w:spacing w:line="400" w:lineRule="exact"/>
              <w:jc w:val="center"/>
              <w:rPr>
                <w:rFonts w:ascii="Times New Roman" w:eastAsia="仿宋"/>
                <w:color w:val="000000" w:themeColor="text1"/>
                <w:sz w:val="21"/>
                <w:szCs w:val="21"/>
              </w:rPr>
            </w:pPr>
            <w:r>
              <w:rPr>
                <w:rFonts w:hint="eastAsia" w:ascii="Times New Roman" w:eastAsia="仿宋"/>
                <w:color w:val="000000" w:themeColor="text1"/>
                <w:sz w:val="21"/>
                <w:szCs w:val="21"/>
              </w:rPr>
              <w:t>/</w:t>
            </w:r>
          </w:p>
        </w:tc>
        <w:tc>
          <w:tcPr>
            <w:tcW w:w="1695" w:type="dxa"/>
            <w:vAlign w:val="center"/>
          </w:tcPr>
          <w:p>
            <w:pPr>
              <w:spacing w:line="400" w:lineRule="exact"/>
              <w:jc w:val="center"/>
              <w:rPr>
                <w:rFonts w:ascii="Times New Roman" w:eastAsia="仿宋"/>
                <w:color w:val="000000" w:themeColor="text1"/>
                <w:sz w:val="21"/>
                <w:szCs w:val="21"/>
              </w:rPr>
            </w:pPr>
          </w:p>
        </w:tc>
        <w:tc>
          <w:tcPr>
            <w:tcW w:w="1616" w:type="dxa"/>
            <w:vAlign w:val="center"/>
          </w:tcPr>
          <w:p>
            <w:pPr>
              <w:spacing w:line="400" w:lineRule="exact"/>
              <w:jc w:val="center"/>
              <w:rPr>
                <w:rFonts w:ascii="Times New Roman" w:eastAsia="仿宋"/>
                <w:color w:val="000000" w:themeColor="text1"/>
                <w:sz w:val="21"/>
                <w:szCs w:val="21"/>
              </w:rPr>
            </w:pPr>
          </w:p>
        </w:tc>
        <w:tc>
          <w:tcPr>
            <w:tcW w:w="1242" w:type="dxa"/>
            <w:vAlign w:val="center"/>
          </w:tcPr>
          <w:p>
            <w:pPr>
              <w:snapToGrid w:val="0"/>
              <w:spacing w:line="400" w:lineRule="exact"/>
              <w:jc w:val="center"/>
              <w:rPr>
                <w:rFonts w:ascii="仿宋" w:hAnsi="仿宋" w:eastAsia="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pacing w:line="400" w:lineRule="exact"/>
              <w:jc w:val="center"/>
              <w:rPr>
                <w:rFonts w:ascii="Times New Roman" w:eastAsia="仿宋"/>
                <w:color w:val="000000" w:themeColor="text1"/>
                <w:sz w:val="21"/>
                <w:szCs w:val="21"/>
              </w:rPr>
            </w:pPr>
          </w:p>
        </w:tc>
        <w:tc>
          <w:tcPr>
            <w:tcW w:w="1602" w:type="dxa"/>
          </w:tcPr>
          <w:p>
            <w:pPr>
              <w:pStyle w:val="87"/>
              <w:spacing w:before="135"/>
              <w:ind w:left="112"/>
              <w:rPr>
                <w:rFonts w:ascii="仿宋" w:hAnsi="仿宋" w:eastAsia="仿宋" w:cs="仿宋"/>
                <w:color w:val="000000" w:themeColor="text1"/>
                <w:sz w:val="24"/>
                <w:szCs w:val="24"/>
              </w:rPr>
            </w:pPr>
          </w:p>
        </w:tc>
        <w:tc>
          <w:tcPr>
            <w:tcW w:w="1461" w:type="dxa"/>
            <w:vAlign w:val="center"/>
          </w:tcPr>
          <w:p>
            <w:pPr>
              <w:snapToGrid w:val="0"/>
              <w:spacing w:line="400" w:lineRule="exact"/>
              <w:jc w:val="center"/>
              <w:rPr>
                <w:rFonts w:ascii="Times New Roman" w:eastAsia="仿宋"/>
                <w:color w:val="000000" w:themeColor="text1"/>
                <w:sz w:val="21"/>
                <w:szCs w:val="21"/>
              </w:rPr>
            </w:pPr>
          </w:p>
        </w:tc>
        <w:tc>
          <w:tcPr>
            <w:tcW w:w="976" w:type="dxa"/>
            <w:vAlign w:val="center"/>
          </w:tcPr>
          <w:p>
            <w:pPr>
              <w:snapToGrid w:val="0"/>
              <w:spacing w:line="400" w:lineRule="exact"/>
              <w:jc w:val="center"/>
              <w:rPr>
                <w:rFonts w:ascii="Times New Roman" w:eastAsia="仿宋"/>
                <w:color w:val="000000" w:themeColor="text1"/>
                <w:sz w:val="21"/>
                <w:szCs w:val="21"/>
              </w:rPr>
            </w:pPr>
          </w:p>
        </w:tc>
        <w:tc>
          <w:tcPr>
            <w:tcW w:w="1695" w:type="dxa"/>
            <w:vAlign w:val="center"/>
          </w:tcPr>
          <w:p>
            <w:pPr>
              <w:spacing w:line="400" w:lineRule="exact"/>
              <w:jc w:val="center"/>
              <w:rPr>
                <w:rFonts w:ascii="Times New Roman" w:eastAsia="仿宋"/>
                <w:color w:val="000000" w:themeColor="text1"/>
                <w:sz w:val="21"/>
                <w:szCs w:val="21"/>
              </w:rPr>
            </w:pPr>
          </w:p>
        </w:tc>
        <w:tc>
          <w:tcPr>
            <w:tcW w:w="1616" w:type="dxa"/>
            <w:vAlign w:val="center"/>
          </w:tcPr>
          <w:p>
            <w:pPr>
              <w:spacing w:line="400" w:lineRule="exact"/>
              <w:jc w:val="center"/>
              <w:rPr>
                <w:rFonts w:ascii="Times New Roman" w:eastAsia="仿宋"/>
                <w:color w:val="000000" w:themeColor="text1"/>
                <w:sz w:val="21"/>
                <w:szCs w:val="21"/>
              </w:rPr>
            </w:pPr>
          </w:p>
        </w:tc>
        <w:tc>
          <w:tcPr>
            <w:tcW w:w="1242" w:type="dxa"/>
            <w:vAlign w:val="center"/>
          </w:tcPr>
          <w:p>
            <w:pPr>
              <w:snapToGrid w:val="0"/>
              <w:spacing w:line="400" w:lineRule="exact"/>
              <w:jc w:val="center"/>
              <w:rPr>
                <w:rFonts w:ascii="仿宋" w:hAnsi="仿宋" w:eastAsia="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pacing w:line="400" w:lineRule="exact"/>
              <w:jc w:val="center"/>
              <w:rPr>
                <w:rFonts w:ascii="Times New Roman" w:eastAsia="仿宋"/>
                <w:color w:val="000000" w:themeColor="text1"/>
                <w:sz w:val="21"/>
                <w:szCs w:val="21"/>
              </w:rPr>
            </w:pPr>
          </w:p>
        </w:tc>
        <w:tc>
          <w:tcPr>
            <w:tcW w:w="1602" w:type="dxa"/>
          </w:tcPr>
          <w:p>
            <w:pPr>
              <w:pStyle w:val="87"/>
              <w:spacing w:before="134"/>
              <w:ind w:left="112"/>
              <w:rPr>
                <w:rFonts w:ascii="仿宋" w:hAnsi="仿宋" w:eastAsia="仿宋" w:cs="仿宋"/>
                <w:color w:val="000000" w:themeColor="text1"/>
                <w:sz w:val="24"/>
                <w:szCs w:val="24"/>
              </w:rPr>
            </w:pPr>
          </w:p>
        </w:tc>
        <w:tc>
          <w:tcPr>
            <w:tcW w:w="1461" w:type="dxa"/>
            <w:vAlign w:val="center"/>
          </w:tcPr>
          <w:p>
            <w:pPr>
              <w:spacing w:line="400" w:lineRule="exact"/>
              <w:jc w:val="center"/>
              <w:rPr>
                <w:rFonts w:ascii="仿宋" w:hAnsi="仿宋" w:eastAsia="仿宋"/>
                <w:color w:val="000000" w:themeColor="text1"/>
                <w:sz w:val="24"/>
              </w:rPr>
            </w:pPr>
          </w:p>
        </w:tc>
        <w:tc>
          <w:tcPr>
            <w:tcW w:w="976" w:type="dxa"/>
            <w:vAlign w:val="center"/>
          </w:tcPr>
          <w:p>
            <w:pPr>
              <w:spacing w:line="400" w:lineRule="exact"/>
              <w:jc w:val="center"/>
              <w:rPr>
                <w:rFonts w:ascii="仿宋" w:hAnsi="仿宋" w:eastAsia="仿宋"/>
                <w:color w:val="000000" w:themeColor="text1"/>
                <w:sz w:val="24"/>
              </w:rPr>
            </w:pPr>
          </w:p>
        </w:tc>
        <w:tc>
          <w:tcPr>
            <w:tcW w:w="1695" w:type="dxa"/>
            <w:vAlign w:val="center"/>
          </w:tcPr>
          <w:p>
            <w:pPr>
              <w:snapToGrid w:val="0"/>
              <w:spacing w:line="400" w:lineRule="exact"/>
              <w:jc w:val="center"/>
              <w:rPr>
                <w:rFonts w:ascii="仿宋" w:hAnsi="仿宋" w:eastAsia="仿宋"/>
                <w:color w:val="000000" w:themeColor="text1"/>
                <w:sz w:val="24"/>
              </w:rPr>
            </w:pPr>
          </w:p>
        </w:tc>
        <w:tc>
          <w:tcPr>
            <w:tcW w:w="1616" w:type="dxa"/>
            <w:vAlign w:val="center"/>
          </w:tcPr>
          <w:p>
            <w:pPr>
              <w:snapToGrid w:val="0"/>
              <w:spacing w:line="400" w:lineRule="exact"/>
              <w:jc w:val="center"/>
              <w:rPr>
                <w:rFonts w:ascii="仿宋" w:hAnsi="仿宋" w:eastAsia="仿宋"/>
                <w:color w:val="000000" w:themeColor="text1"/>
                <w:sz w:val="24"/>
              </w:rPr>
            </w:pPr>
          </w:p>
        </w:tc>
        <w:tc>
          <w:tcPr>
            <w:tcW w:w="1242" w:type="dxa"/>
            <w:vAlign w:val="center"/>
          </w:tcPr>
          <w:p>
            <w:pPr>
              <w:snapToGrid w:val="0"/>
              <w:spacing w:line="400" w:lineRule="exact"/>
              <w:jc w:val="center"/>
              <w:rPr>
                <w:rFonts w:ascii="仿宋" w:hAnsi="仿宋" w:eastAsia="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pacing w:line="400" w:lineRule="exact"/>
              <w:jc w:val="center"/>
              <w:rPr>
                <w:rFonts w:ascii="Times New Roman" w:eastAsia="仿宋"/>
                <w:color w:val="000000" w:themeColor="text1"/>
                <w:sz w:val="21"/>
                <w:szCs w:val="21"/>
              </w:rPr>
            </w:pPr>
          </w:p>
        </w:tc>
        <w:tc>
          <w:tcPr>
            <w:tcW w:w="1602" w:type="dxa"/>
          </w:tcPr>
          <w:p>
            <w:pPr>
              <w:pStyle w:val="87"/>
              <w:spacing w:before="135"/>
              <w:ind w:left="112"/>
              <w:rPr>
                <w:rFonts w:ascii="仿宋" w:hAnsi="仿宋" w:eastAsia="仿宋" w:cs="仿宋"/>
                <w:color w:val="000000" w:themeColor="text1"/>
                <w:sz w:val="24"/>
                <w:szCs w:val="24"/>
              </w:rPr>
            </w:pPr>
          </w:p>
        </w:tc>
        <w:tc>
          <w:tcPr>
            <w:tcW w:w="1461" w:type="dxa"/>
            <w:vAlign w:val="center"/>
          </w:tcPr>
          <w:p>
            <w:pPr>
              <w:snapToGrid w:val="0"/>
              <w:spacing w:line="400" w:lineRule="exact"/>
              <w:jc w:val="center"/>
              <w:rPr>
                <w:rFonts w:ascii="仿宋" w:hAnsi="仿宋" w:eastAsia="仿宋"/>
                <w:color w:val="000000" w:themeColor="text1"/>
                <w:sz w:val="24"/>
              </w:rPr>
            </w:pPr>
          </w:p>
        </w:tc>
        <w:tc>
          <w:tcPr>
            <w:tcW w:w="976" w:type="dxa"/>
            <w:vAlign w:val="center"/>
          </w:tcPr>
          <w:p>
            <w:pPr>
              <w:snapToGrid w:val="0"/>
              <w:spacing w:line="400" w:lineRule="exact"/>
              <w:jc w:val="center"/>
              <w:rPr>
                <w:rFonts w:ascii="仿宋" w:hAnsi="仿宋" w:eastAsia="仿宋"/>
                <w:color w:val="000000" w:themeColor="text1"/>
                <w:sz w:val="24"/>
              </w:rPr>
            </w:pPr>
          </w:p>
        </w:tc>
        <w:tc>
          <w:tcPr>
            <w:tcW w:w="1695" w:type="dxa"/>
            <w:vAlign w:val="center"/>
          </w:tcPr>
          <w:p>
            <w:pPr>
              <w:snapToGrid w:val="0"/>
              <w:spacing w:line="400" w:lineRule="exact"/>
              <w:jc w:val="center"/>
              <w:rPr>
                <w:rFonts w:ascii="仿宋" w:hAnsi="仿宋" w:eastAsia="仿宋"/>
                <w:color w:val="000000" w:themeColor="text1"/>
                <w:sz w:val="24"/>
              </w:rPr>
            </w:pPr>
          </w:p>
        </w:tc>
        <w:tc>
          <w:tcPr>
            <w:tcW w:w="1616" w:type="dxa"/>
            <w:vAlign w:val="center"/>
          </w:tcPr>
          <w:p>
            <w:pPr>
              <w:snapToGrid w:val="0"/>
              <w:spacing w:line="400" w:lineRule="exact"/>
              <w:jc w:val="center"/>
              <w:rPr>
                <w:rFonts w:ascii="仿宋" w:hAnsi="仿宋" w:eastAsia="仿宋"/>
                <w:color w:val="000000" w:themeColor="text1"/>
                <w:sz w:val="24"/>
              </w:rPr>
            </w:pPr>
          </w:p>
        </w:tc>
        <w:tc>
          <w:tcPr>
            <w:tcW w:w="1242" w:type="dxa"/>
            <w:vAlign w:val="center"/>
          </w:tcPr>
          <w:p>
            <w:pPr>
              <w:snapToGrid w:val="0"/>
              <w:spacing w:line="400" w:lineRule="exact"/>
              <w:jc w:val="center"/>
              <w:rPr>
                <w:rFonts w:ascii="仿宋" w:hAnsi="仿宋" w:eastAsia="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75" w:type="dxa"/>
            <w:gridSpan w:val="7"/>
            <w:vAlign w:val="center"/>
          </w:tcPr>
          <w:p>
            <w:pPr>
              <w:snapToGrid w:val="0"/>
              <w:spacing w:line="400" w:lineRule="exact"/>
              <w:rPr>
                <w:rFonts w:ascii="仿宋" w:hAnsi="仿宋" w:eastAsia="仿宋"/>
                <w:color w:val="000000" w:themeColor="text1"/>
                <w:sz w:val="24"/>
              </w:rPr>
            </w:pPr>
            <w:r>
              <w:rPr>
                <w:rFonts w:hint="eastAsia" w:ascii="仿宋" w:hAnsi="仿宋" w:eastAsia="仿宋"/>
                <w:color w:val="000000" w:themeColor="text1"/>
                <w:sz w:val="24"/>
              </w:rPr>
              <w:t>分项报价合计（万元）                    大写：</w:t>
            </w:r>
          </w:p>
        </w:tc>
      </w:tr>
    </w:tbl>
    <w:p>
      <w:pPr>
        <w:spacing w:line="400" w:lineRule="exact"/>
        <w:ind w:left="840" w:hanging="840" w:hangingChars="350"/>
        <w:rPr>
          <w:rFonts w:ascii="仿宋" w:hAnsi="仿宋" w:eastAsia="仿宋"/>
          <w:color w:val="000000" w:themeColor="text1"/>
          <w:sz w:val="24"/>
        </w:rPr>
      </w:pPr>
    </w:p>
    <w:p>
      <w:pPr>
        <w:spacing w:line="400" w:lineRule="exact"/>
        <w:ind w:left="840" w:hanging="840" w:hangingChars="350"/>
        <w:rPr>
          <w:rFonts w:ascii="仿宋" w:hAnsi="仿宋" w:eastAsia="仿宋"/>
          <w:color w:val="000000" w:themeColor="text1"/>
          <w:sz w:val="24"/>
        </w:rPr>
      </w:pPr>
    </w:p>
    <w:p>
      <w:pPr>
        <w:spacing w:line="400" w:lineRule="exact"/>
        <w:ind w:left="840" w:hanging="840" w:hangingChars="350"/>
        <w:rPr>
          <w:rFonts w:ascii="仿宋" w:hAnsi="仿宋" w:eastAsia="仿宋"/>
          <w:bCs/>
          <w:color w:val="000000" w:themeColor="text1"/>
          <w:sz w:val="24"/>
        </w:rPr>
      </w:pPr>
      <w:r>
        <w:rPr>
          <w:rFonts w:hint="eastAsia" w:ascii="仿宋" w:hAnsi="仿宋" w:eastAsia="仿宋"/>
          <w:color w:val="000000" w:themeColor="text1"/>
          <w:sz w:val="24"/>
        </w:rPr>
        <w:t>注：1、投标人必须按“</w:t>
      </w:r>
      <w:r>
        <w:rPr>
          <w:rFonts w:hint="eastAsia" w:ascii="仿宋" w:hAnsi="仿宋" w:eastAsia="仿宋"/>
          <w:bCs/>
          <w:color w:val="000000" w:themeColor="text1"/>
          <w:sz w:val="24"/>
        </w:rPr>
        <w:t>分项报价明细表”的格式</w:t>
      </w:r>
      <w:r>
        <w:rPr>
          <w:rFonts w:hint="eastAsia" w:ascii="仿宋" w:hAnsi="仿宋" w:eastAsia="仿宋"/>
          <w:color w:val="000000" w:themeColor="text1"/>
          <w:sz w:val="24"/>
        </w:rPr>
        <w:t>详细报出投标总价的各个组成部分的报价，可以增加表格内容。</w:t>
      </w:r>
    </w:p>
    <w:p>
      <w:pPr>
        <w:numPr>
          <w:ilvl w:val="0"/>
          <w:numId w:val="4"/>
        </w:numPr>
        <w:spacing w:line="400" w:lineRule="exact"/>
        <w:jc w:val="left"/>
        <w:rPr>
          <w:rFonts w:ascii="仿宋" w:hAnsi="仿宋" w:eastAsia="仿宋"/>
          <w:bCs/>
          <w:color w:val="000000" w:themeColor="text1"/>
          <w:sz w:val="24"/>
        </w:rPr>
      </w:pPr>
      <w:r>
        <w:rPr>
          <w:rFonts w:hint="eastAsia" w:ascii="仿宋" w:hAnsi="仿宋" w:eastAsia="仿宋"/>
          <w:color w:val="000000" w:themeColor="text1"/>
          <w:sz w:val="24"/>
        </w:rPr>
        <w:t>“</w:t>
      </w:r>
      <w:r>
        <w:rPr>
          <w:rFonts w:hint="eastAsia" w:ascii="仿宋" w:hAnsi="仿宋" w:eastAsia="仿宋"/>
          <w:bCs/>
          <w:color w:val="000000" w:themeColor="text1"/>
          <w:sz w:val="24"/>
        </w:rPr>
        <w:t>分项报价明细表”各分项报价合计应当与“开标一览表”报价合计相等。</w:t>
      </w:r>
    </w:p>
    <w:p>
      <w:pPr>
        <w:numPr>
          <w:ilvl w:val="0"/>
          <w:numId w:val="4"/>
        </w:numPr>
        <w:spacing w:line="400" w:lineRule="exact"/>
        <w:jc w:val="left"/>
        <w:rPr>
          <w:rFonts w:ascii="仿宋" w:hAnsi="仿宋" w:eastAsia="仿宋"/>
          <w:bCs/>
          <w:color w:val="000000" w:themeColor="text1"/>
          <w:sz w:val="24"/>
          <w:szCs w:val="22"/>
        </w:rPr>
      </w:pPr>
      <w:r>
        <w:rPr>
          <w:rFonts w:hint="eastAsia" w:ascii="仿宋" w:hAnsi="仿宋" w:eastAsia="仿宋"/>
          <w:bCs/>
          <w:color w:val="000000" w:themeColor="text1"/>
          <w:sz w:val="24"/>
          <w:szCs w:val="22"/>
        </w:rPr>
        <w:t>以上系统必须全部投标，不接受选择性投标。</w:t>
      </w:r>
    </w:p>
    <w:p>
      <w:pPr>
        <w:spacing w:line="400" w:lineRule="exact"/>
        <w:ind w:left="360"/>
        <w:jc w:val="left"/>
        <w:rPr>
          <w:rFonts w:ascii="仿宋" w:hAnsi="仿宋" w:eastAsia="仿宋"/>
          <w:bCs/>
          <w:color w:val="000000" w:themeColor="text1"/>
          <w:sz w:val="24"/>
          <w:szCs w:val="22"/>
        </w:rPr>
      </w:pPr>
    </w:p>
    <w:p>
      <w:pPr>
        <w:spacing w:line="400" w:lineRule="exact"/>
        <w:jc w:val="left"/>
        <w:rPr>
          <w:rFonts w:ascii="仿宋" w:hAnsi="仿宋" w:eastAsia="仿宋"/>
          <w:b/>
          <w:bCs/>
          <w:color w:val="000000" w:themeColor="text1"/>
          <w:sz w:val="24"/>
        </w:rPr>
      </w:pPr>
    </w:p>
    <w:p>
      <w:pPr>
        <w:adjustRightInd w:val="0"/>
        <w:spacing w:line="400" w:lineRule="exact"/>
        <w:ind w:firstLine="560" w:firstLineChars="200"/>
        <w:jc w:val="left"/>
        <w:rPr>
          <w:rFonts w:ascii="仿宋" w:hAnsi="仿宋" w:eastAsia="仿宋"/>
          <w:color w:val="000000" w:themeColor="text1"/>
          <w:sz w:val="28"/>
        </w:rPr>
      </w:pPr>
    </w:p>
    <w:p>
      <w:pPr>
        <w:adjustRightInd w:val="0"/>
        <w:spacing w:line="400" w:lineRule="exact"/>
        <w:ind w:firstLine="480" w:firstLineChars="200"/>
        <w:jc w:val="left"/>
        <w:rPr>
          <w:rFonts w:ascii="仿宋" w:hAnsi="仿宋" w:eastAsia="仿宋"/>
          <w:color w:val="000000" w:themeColor="text1"/>
          <w:sz w:val="24"/>
        </w:rPr>
      </w:pPr>
    </w:p>
    <w:p>
      <w:pPr>
        <w:adjustRightInd w:val="0"/>
        <w:spacing w:line="400" w:lineRule="exact"/>
        <w:ind w:firstLine="480" w:firstLineChars="200"/>
        <w:jc w:val="left"/>
        <w:rPr>
          <w:rFonts w:ascii="仿宋" w:hAnsi="仿宋" w:eastAsia="仿宋"/>
          <w:color w:val="000000" w:themeColor="text1"/>
          <w:sz w:val="24"/>
        </w:rPr>
      </w:pPr>
    </w:p>
    <w:p>
      <w:pPr>
        <w:adjustRightInd w:val="0"/>
        <w:spacing w:line="400" w:lineRule="exact"/>
        <w:ind w:firstLine="480" w:firstLineChars="200"/>
        <w:jc w:val="left"/>
        <w:rPr>
          <w:rFonts w:ascii="仿宋" w:hAnsi="仿宋" w:eastAsia="仿宋"/>
          <w:color w:val="000000" w:themeColor="text1"/>
          <w:sz w:val="24"/>
        </w:rPr>
      </w:pPr>
    </w:p>
    <w:p>
      <w:pPr>
        <w:adjustRightInd w:val="0"/>
        <w:spacing w:line="400" w:lineRule="exact"/>
        <w:ind w:firstLine="480" w:firstLineChars="200"/>
        <w:jc w:val="left"/>
        <w:rPr>
          <w:rFonts w:ascii="仿宋" w:hAnsi="仿宋" w:eastAsia="仿宋"/>
          <w:color w:val="000000" w:themeColor="text1"/>
          <w:sz w:val="24"/>
        </w:rPr>
      </w:pPr>
    </w:p>
    <w:p>
      <w:pPr>
        <w:adjustRightInd w:val="0"/>
        <w:spacing w:line="400" w:lineRule="exact"/>
        <w:ind w:firstLine="480" w:firstLineChars="200"/>
        <w:jc w:val="left"/>
        <w:rPr>
          <w:rFonts w:ascii="仿宋" w:hAnsi="仿宋" w:eastAsia="仿宋"/>
          <w:color w:val="000000" w:themeColor="text1"/>
          <w:sz w:val="24"/>
        </w:rPr>
      </w:pPr>
    </w:p>
    <w:p>
      <w:pPr>
        <w:adjustRightInd w:val="0"/>
        <w:spacing w:line="400" w:lineRule="exact"/>
        <w:ind w:firstLine="480" w:firstLineChars="200"/>
        <w:jc w:val="left"/>
        <w:rPr>
          <w:rFonts w:ascii="仿宋" w:hAnsi="仿宋" w:eastAsia="仿宋"/>
          <w:color w:val="000000" w:themeColor="text1"/>
          <w:sz w:val="24"/>
        </w:rPr>
      </w:pPr>
    </w:p>
    <w:p>
      <w:pPr>
        <w:adjustRightInd w:val="0"/>
        <w:spacing w:line="400" w:lineRule="exact"/>
        <w:ind w:firstLine="480" w:firstLineChars="200"/>
        <w:jc w:val="left"/>
        <w:rPr>
          <w:rFonts w:ascii="仿宋" w:hAnsi="仿宋" w:eastAsia="仿宋"/>
          <w:color w:val="000000" w:themeColor="text1"/>
          <w:sz w:val="24"/>
        </w:rPr>
      </w:pPr>
      <w:r>
        <w:rPr>
          <w:rFonts w:hint="eastAsia" w:ascii="仿宋" w:hAnsi="仿宋" w:eastAsia="仿宋"/>
          <w:color w:val="000000" w:themeColor="text1"/>
          <w:sz w:val="24"/>
        </w:rPr>
        <w:t>投标人名称：                  （盖章）</w:t>
      </w:r>
    </w:p>
    <w:p>
      <w:pPr>
        <w:adjustRightInd w:val="0"/>
        <w:spacing w:line="400" w:lineRule="exact"/>
        <w:ind w:firstLine="480" w:firstLineChars="200"/>
        <w:jc w:val="left"/>
        <w:rPr>
          <w:rFonts w:ascii="仿宋" w:hAnsi="仿宋" w:eastAsia="仿宋"/>
          <w:color w:val="000000" w:themeColor="text1"/>
          <w:sz w:val="24"/>
        </w:rPr>
      </w:pPr>
      <w:r>
        <w:rPr>
          <w:rFonts w:hint="eastAsia" w:ascii="仿宋" w:hAnsi="仿宋" w:eastAsia="仿宋"/>
          <w:color w:val="000000" w:themeColor="text1"/>
          <w:sz w:val="24"/>
        </w:rPr>
        <w:t>法定代表人或授权代表（签字）：</w:t>
      </w:r>
    </w:p>
    <w:p>
      <w:pPr>
        <w:adjustRightInd w:val="0"/>
        <w:spacing w:line="400" w:lineRule="exact"/>
        <w:ind w:firstLine="480" w:firstLineChars="200"/>
        <w:jc w:val="left"/>
        <w:rPr>
          <w:rFonts w:ascii="仿宋" w:hAnsi="仿宋" w:eastAsia="仿宋"/>
          <w:color w:val="000000" w:themeColor="text1"/>
          <w:sz w:val="28"/>
        </w:rPr>
        <w:sectPr>
          <w:type w:val="nextColumn"/>
          <w:pgSz w:w="11907" w:h="16840"/>
          <w:pgMar w:top="1440" w:right="1474" w:bottom="1440" w:left="1474" w:header="851" w:footer="992" w:gutter="0"/>
          <w:cols w:space="720" w:num="1"/>
          <w:docGrid w:linePitch="312" w:charSpace="0"/>
        </w:sectPr>
      </w:pPr>
      <w:r>
        <w:rPr>
          <w:rFonts w:hint="eastAsia" w:ascii="仿宋" w:hAnsi="仿宋" w:eastAsia="仿宋"/>
          <w:color w:val="000000" w:themeColor="text1"/>
          <w:sz w:val="24"/>
        </w:rPr>
        <w:t>投标日期：   年    月    日</w:t>
      </w:r>
    </w:p>
    <w:p>
      <w:pPr>
        <w:pStyle w:val="3"/>
        <w:spacing w:line="400" w:lineRule="exact"/>
        <w:jc w:val="center"/>
        <w:rPr>
          <w:rFonts w:ascii="仿宋" w:hAnsi="仿宋" w:eastAsia="仿宋"/>
          <w:bCs w:val="0"/>
          <w:color w:val="000000" w:themeColor="text1"/>
          <w:szCs w:val="28"/>
        </w:rPr>
      </w:pPr>
      <w:bookmarkStart w:id="158" w:name="_Toc217446087"/>
      <w:r>
        <w:rPr>
          <w:rFonts w:hint="eastAsia" w:ascii="仿宋" w:hAnsi="仿宋" w:eastAsia="仿宋"/>
          <w:bCs w:val="0"/>
          <w:color w:val="000000" w:themeColor="text1"/>
          <w:szCs w:val="28"/>
        </w:rPr>
        <w:t>四、商务偏离表</w:t>
      </w:r>
      <w:bookmarkEnd w:id="158"/>
    </w:p>
    <w:p>
      <w:pPr>
        <w:spacing w:line="360" w:lineRule="auto"/>
        <w:rPr>
          <w:rFonts w:ascii="仿宋" w:hAnsi="仿宋" w:eastAsia="仿宋"/>
          <w:color w:val="000000" w:themeColor="text1"/>
          <w:sz w:val="28"/>
        </w:rPr>
      </w:pPr>
      <w:r>
        <w:rPr>
          <w:rFonts w:hint="eastAsia" w:ascii="仿宋" w:hAnsi="仿宋" w:eastAsia="仿宋"/>
          <w:color w:val="000000" w:themeColor="text1"/>
          <w:sz w:val="28"/>
        </w:rPr>
        <w:t>包号：</w:t>
      </w:r>
    </w:p>
    <w:tbl>
      <w:tblPr>
        <w:tblStyle w:val="31"/>
        <w:tblW w:w="8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2415"/>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vAlign w:val="center"/>
          </w:tcPr>
          <w:p>
            <w:pPr>
              <w:spacing w:line="400" w:lineRule="exact"/>
              <w:jc w:val="center"/>
              <w:rPr>
                <w:rFonts w:ascii="仿宋" w:hAnsi="仿宋" w:eastAsia="仿宋"/>
                <w:color w:val="000000" w:themeColor="text1"/>
                <w:sz w:val="24"/>
                <w:szCs w:val="22"/>
              </w:rPr>
            </w:pPr>
            <w:r>
              <w:rPr>
                <w:rFonts w:hint="eastAsia" w:ascii="仿宋" w:hAnsi="仿宋" w:eastAsia="仿宋"/>
                <w:color w:val="000000" w:themeColor="text1"/>
                <w:sz w:val="24"/>
                <w:szCs w:val="22"/>
              </w:rPr>
              <w:t>序号</w:t>
            </w:r>
          </w:p>
        </w:tc>
        <w:tc>
          <w:tcPr>
            <w:tcW w:w="2625" w:type="dxa"/>
            <w:vAlign w:val="center"/>
          </w:tcPr>
          <w:p>
            <w:pPr>
              <w:spacing w:line="400" w:lineRule="exact"/>
              <w:jc w:val="center"/>
              <w:rPr>
                <w:rFonts w:ascii="仿宋" w:hAnsi="仿宋" w:eastAsia="仿宋"/>
                <w:color w:val="000000" w:themeColor="text1"/>
                <w:sz w:val="24"/>
                <w:szCs w:val="22"/>
              </w:rPr>
            </w:pPr>
            <w:r>
              <w:rPr>
                <w:rFonts w:hint="eastAsia" w:ascii="仿宋" w:hAnsi="仿宋" w:eastAsia="仿宋"/>
                <w:color w:val="000000" w:themeColor="text1"/>
                <w:sz w:val="24"/>
                <w:szCs w:val="22"/>
              </w:rPr>
              <w:t>招标要求</w:t>
            </w:r>
          </w:p>
        </w:tc>
        <w:tc>
          <w:tcPr>
            <w:tcW w:w="2415" w:type="dxa"/>
            <w:vAlign w:val="center"/>
          </w:tcPr>
          <w:p>
            <w:pPr>
              <w:spacing w:line="400" w:lineRule="exact"/>
              <w:jc w:val="center"/>
              <w:rPr>
                <w:rFonts w:ascii="仿宋" w:hAnsi="仿宋" w:eastAsia="仿宋"/>
                <w:color w:val="000000" w:themeColor="text1"/>
                <w:sz w:val="24"/>
                <w:szCs w:val="22"/>
              </w:rPr>
            </w:pPr>
            <w:r>
              <w:rPr>
                <w:rFonts w:hint="eastAsia" w:ascii="仿宋" w:hAnsi="仿宋" w:eastAsia="仿宋"/>
                <w:color w:val="000000" w:themeColor="text1"/>
                <w:sz w:val="24"/>
                <w:szCs w:val="22"/>
              </w:rPr>
              <w:t>投标响应</w:t>
            </w:r>
          </w:p>
        </w:tc>
        <w:tc>
          <w:tcPr>
            <w:tcW w:w="2621" w:type="dxa"/>
            <w:vAlign w:val="center"/>
          </w:tcPr>
          <w:p>
            <w:pPr>
              <w:spacing w:line="400" w:lineRule="exact"/>
              <w:jc w:val="center"/>
              <w:rPr>
                <w:rFonts w:ascii="仿宋" w:hAnsi="仿宋" w:eastAsia="仿宋"/>
                <w:color w:val="000000" w:themeColor="text1"/>
                <w:sz w:val="24"/>
                <w:szCs w:val="22"/>
              </w:rPr>
            </w:pPr>
            <w:r>
              <w:rPr>
                <w:rFonts w:hint="eastAsia" w:ascii="仿宋" w:hAnsi="仿宋" w:eastAsia="仿宋"/>
                <w:color w:val="000000" w:themeColor="text1"/>
                <w:sz w:val="24"/>
                <w:szCs w:val="22"/>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color w:val="000000" w:themeColor="text1"/>
                <w:sz w:val="32"/>
              </w:rPr>
            </w:pPr>
          </w:p>
        </w:tc>
        <w:tc>
          <w:tcPr>
            <w:tcW w:w="2625" w:type="dxa"/>
          </w:tcPr>
          <w:p>
            <w:pPr>
              <w:spacing w:line="400" w:lineRule="exact"/>
              <w:jc w:val="center"/>
              <w:rPr>
                <w:rFonts w:ascii="仿宋" w:hAnsi="仿宋" w:eastAsia="仿宋"/>
                <w:color w:val="000000" w:themeColor="text1"/>
                <w:sz w:val="32"/>
              </w:rPr>
            </w:pPr>
          </w:p>
        </w:tc>
        <w:tc>
          <w:tcPr>
            <w:tcW w:w="2415" w:type="dxa"/>
          </w:tcPr>
          <w:p>
            <w:pPr>
              <w:spacing w:line="400" w:lineRule="exact"/>
              <w:jc w:val="center"/>
              <w:rPr>
                <w:rFonts w:ascii="仿宋" w:hAnsi="仿宋" w:eastAsia="仿宋"/>
                <w:color w:val="000000" w:themeColor="text1"/>
                <w:sz w:val="32"/>
              </w:rPr>
            </w:pPr>
          </w:p>
        </w:tc>
        <w:tc>
          <w:tcPr>
            <w:tcW w:w="2621" w:type="dxa"/>
          </w:tcPr>
          <w:p>
            <w:pPr>
              <w:spacing w:line="400" w:lineRule="exact"/>
              <w:jc w:val="center"/>
              <w:rPr>
                <w:rFonts w:ascii="仿宋" w:hAnsi="仿宋" w:eastAsia="仿宋"/>
                <w:color w:val="000000" w:themeColor="text1"/>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color w:val="000000" w:themeColor="text1"/>
                <w:sz w:val="32"/>
              </w:rPr>
            </w:pPr>
          </w:p>
        </w:tc>
        <w:tc>
          <w:tcPr>
            <w:tcW w:w="2625" w:type="dxa"/>
          </w:tcPr>
          <w:p>
            <w:pPr>
              <w:spacing w:line="400" w:lineRule="exact"/>
              <w:jc w:val="center"/>
              <w:rPr>
                <w:rFonts w:ascii="仿宋" w:hAnsi="仿宋" w:eastAsia="仿宋"/>
                <w:color w:val="000000" w:themeColor="text1"/>
                <w:sz w:val="32"/>
              </w:rPr>
            </w:pPr>
          </w:p>
        </w:tc>
        <w:tc>
          <w:tcPr>
            <w:tcW w:w="2415" w:type="dxa"/>
          </w:tcPr>
          <w:p>
            <w:pPr>
              <w:spacing w:line="400" w:lineRule="exact"/>
              <w:jc w:val="center"/>
              <w:rPr>
                <w:rFonts w:ascii="仿宋" w:hAnsi="仿宋" w:eastAsia="仿宋"/>
                <w:color w:val="000000" w:themeColor="text1"/>
                <w:sz w:val="32"/>
              </w:rPr>
            </w:pPr>
          </w:p>
        </w:tc>
        <w:tc>
          <w:tcPr>
            <w:tcW w:w="2621" w:type="dxa"/>
          </w:tcPr>
          <w:p>
            <w:pPr>
              <w:spacing w:line="400" w:lineRule="exact"/>
              <w:jc w:val="center"/>
              <w:rPr>
                <w:rFonts w:ascii="仿宋" w:hAnsi="仿宋" w:eastAsia="仿宋"/>
                <w:color w:val="000000" w:themeColor="text1"/>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color w:val="000000" w:themeColor="text1"/>
                <w:sz w:val="32"/>
              </w:rPr>
            </w:pPr>
          </w:p>
        </w:tc>
        <w:tc>
          <w:tcPr>
            <w:tcW w:w="2625" w:type="dxa"/>
          </w:tcPr>
          <w:p>
            <w:pPr>
              <w:spacing w:line="400" w:lineRule="exact"/>
              <w:jc w:val="center"/>
              <w:rPr>
                <w:rFonts w:ascii="仿宋" w:hAnsi="仿宋" w:eastAsia="仿宋"/>
                <w:color w:val="000000" w:themeColor="text1"/>
                <w:sz w:val="32"/>
              </w:rPr>
            </w:pPr>
          </w:p>
        </w:tc>
        <w:tc>
          <w:tcPr>
            <w:tcW w:w="2415" w:type="dxa"/>
          </w:tcPr>
          <w:p>
            <w:pPr>
              <w:spacing w:line="400" w:lineRule="exact"/>
              <w:jc w:val="center"/>
              <w:rPr>
                <w:rFonts w:ascii="仿宋" w:hAnsi="仿宋" w:eastAsia="仿宋"/>
                <w:color w:val="000000" w:themeColor="text1"/>
                <w:sz w:val="32"/>
              </w:rPr>
            </w:pPr>
          </w:p>
        </w:tc>
        <w:tc>
          <w:tcPr>
            <w:tcW w:w="2621" w:type="dxa"/>
          </w:tcPr>
          <w:p>
            <w:pPr>
              <w:spacing w:line="400" w:lineRule="exact"/>
              <w:jc w:val="center"/>
              <w:rPr>
                <w:rFonts w:ascii="仿宋" w:hAnsi="仿宋" w:eastAsia="仿宋"/>
                <w:color w:val="000000" w:themeColor="text1"/>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color w:val="000000" w:themeColor="text1"/>
                <w:sz w:val="32"/>
              </w:rPr>
            </w:pPr>
          </w:p>
        </w:tc>
        <w:tc>
          <w:tcPr>
            <w:tcW w:w="2625" w:type="dxa"/>
          </w:tcPr>
          <w:p>
            <w:pPr>
              <w:spacing w:line="400" w:lineRule="exact"/>
              <w:jc w:val="center"/>
              <w:rPr>
                <w:rFonts w:ascii="仿宋" w:hAnsi="仿宋" w:eastAsia="仿宋"/>
                <w:color w:val="000000" w:themeColor="text1"/>
                <w:sz w:val="32"/>
              </w:rPr>
            </w:pPr>
          </w:p>
        </w:tc>
        <w:tc>
          <w:tcPr>
            <w:tcW w:w="2415" w:type="dxa"/>
          </w:tcPr>
          <w:p>
            <w:pPr>
              <w:spacing w:line="400" w:lineRule="exact"/>
              <w:jc w:val="center"/>
              <w:rPr>
                <w:rFonts w:ascii="仿宋" w:hAnsi="仿宋" w:eastAsia="仿宋"/>
                <w:color w:val="000000" w:themeColor="text1"/>
                <w:sz w:val="32"/>
              </w:rPr>
            </w:pPr>
          </w:p>
        </w:tc>
        <w:tc>
          <w:tcPr>
            <w:tcW w:w="2621" w:type="dxa"/>
          </w:tcPr>
          <w:p>
            <w:pPr>
              <w:spacing w:line="400" w:lineRule="exact"/>
              <w:jc w:val="center"/>
              <w:rPr>
                <w:rFonts w:ascii="仿宋" w:hAnsi="仿宋" w:eastAsia="仿宋"/>
                <w:color w:val="000000" w:themeColor="text1"/>
                <w:sz w:val="32"/>
              </w:rPr>
            </w:pPr>
          </w:p>
        </w:tc>
      </w:tr>
    </w:tbl>
    <w:p>
      <w:pPr>
        <w:spacing w:line="400" w:lineRule="exact"/>
        <w:ind w:left="674" w:leftChars="57" w:hanging="480" w:hangingChars="200"/>
        <w:rPr>
          <w:rFonts w:ascii="仿宋" w:hAnsi="仿宋" w:eastAsia="仿宋"/>
          <w:color w:val="000000" w:themeColor="text1"/>
          <w:sz w:val="24"/>
        </w:rPr>
      </w:pPr>
      <w:r>
        <w:rPr>
          <w:rFonts w:hint="eastAsia" w:ascii="仿宋" w:hAnsi="仿宋" w:eastAsia="仿宋"/>
          <w:color w:val="000000" w:themeColor="text1"/>
          <w:sz w:val="24"/>
        </w:rPr>
        <w:t>注：</w:t>
      </w:r>
      <w:r>
        <w:rPr>
          <w:rFonts w:hint="eastAsia" w:ascii="仿宋" w:hAnsi="仿宋" w:eastAsia="仿宋"/>
          <w:sz w:val="24"/>
        </w:rPr>
        <w:t>：1.本表只填写投标文件中与招标文件有偏离的商务或技术（包括正偏离和负偏离）的内容，商务和技术都有偏离的要分别填写两份表，投标文件中商务/技术响应与招文件要求完全一致的，不用在此表中列出，</w:t>
      </w:r>
      <w:r>
        <w:rPr>
          <w:rFonts w:hint="eastAsia" w:ascii="仿宋" w:hAnsi="仿宋" w:eastAsia="仿宋"/>
          <w:b/>
          <w:bCs/>
          <w:sz w:val="24"/>
        </w:rPr>
        <w:t>但需注明完全响应招标文件商务要求。</w:t>
      </w:r>
    </w:p>
    <w:p>
      <w:pPr>
        <w:spacing w:line="400" w:lineRule="exact"/>
        <w:ind w:left="969" w:leftChars="285"/>
        <w:rPr>
          <w:rFonts w:ascii="仿宋" w:hAnsi="仿宋" w:eastAsia="仿宋"/>
          <w:color w:val="000000" w:themeColor="text1"/>
          <w:sz w:val="24"/>
        </w:rPr>
      </w:pPr>
      <w:r>
        <w:rPr>
          <w:rFonts w:hint="eastAsia" w:ascii="仿宋" w:hAnsi="仿宋" w:eastAsia="仿宋"/>
          <w:color w:val="000000" w:themeColor="text1"/>
          <w:sz w:val="24"/>
        </w:rPr>
        <w:t>2．供应商必须据实填写，不得虚假响应，否则将取消其投标或中标资格，并按有关规定进行处罚。</w:t>
      </w:r>
    </w:p>
    <w:p>
      <w:pPr>
        <w:adjustRightInd w:val="0"/>
        <w:spacing w:line="400" w:lineRule="exact"/>
        <w:ind w:firstLine="490" w:firstLineChars="175"/>
        <w:jc w:val="left"/>
        <w:rPr>
          <w:rFonts w:ascii="仿宋" w:hAnsi="仿宋" w:eastAsia="仿宋"/>
          <w:bCs/>
          <w:color w:val="000000" w:themeColor="text1"/>
          <w:sz w:val="28"/>
          <w:szCs w:val="28"/>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r>
        <w:rPr>
          <w:rFonts w:hint="eastAsia" w:ascii="仿宋" w:hAnsi="仿宋" w:eastAsia="仿宋"/>
          <w:bCs/>
          <w:color w:val="000000" w:themeColor="text1"/>
          <w:sz w:val="24"/>
        </w:rPr>
        <w:t>投标人名称：      （盖章）</w:t>
      </w:r>
    </w:p>
    <w:p>
      <w:pPr>
        <w:adjustRightInd w:val="0"/>
        <w:spacing w:line="400" w:lineRule="exact"/>
        <w:ind w:firstLine="420" w:firstLineChars="175"/>
        <w:jc w:val="left"/>
        <w:rPr>
          <w:rFonts w:ascii="仿宋" w:hAnsi="仿宋" w:eastAsia="仿宋"/>
          <w:bCs/>
          <w:color w:val="000000" w:themeColor="text1"/>
          <w:sz w:val="24"/>
        </w:rPr>
      </w:pPr>
      <w:r>
        <w:rPr>
          <w:rFonts w:hint="eastAsia" w:ascii="仿宋" w:hAnsi="仿宋" w:eastAsia="仿宋"/>
          <w:color w:val="000000" w:themeColor="text1"/>
          <w:sz w:val="24"/>
        </w:rPr>
        <w:t>法定代表人或授权代表（签字）</w:t>
      </w:r>
      <w:r>
        <w:rPr>
          <w:rFonts w:hint="eastAsia" w:ascii="仿宋" w:hAnsi="仿宋" w:eastAsia="仿宋"/>
          <w:bCs/>
          <w:color w:val="000000" w:themeColor="text1"/>
          <w:sz w:val="24"/>
        </w:rPr>
        <w:t>：</w:t>
      </w:r>
    </w:p>
    <w:p>
      <w:pPr>
        <w:spacing w:line="400" w:lineRule="exact"/>
        <w:ind w:firstLine="480" w:firstLineChars="200"/>
        <w:rPr>
          <w:rFonts w:ascii="仿宋" w:hAnsi="仿宋" w:eastAsia="仿宋"/>
          <w:bCs/>
          <w:color w:val="000000" w:themeColor="text1"/>
          <w:sz w:val="24"/>
        </w:rPr>
      </w:pPr>
      <w:r>
        <w:rPr>
          <w:rFonts w:hint="eastAsia" w:ascii="仿宋" w:hAnsi="仿宋" w:eastAsia="仿宋"/>
          <w:bCs/>
          <w:color w:val="000000" w:themeColor="text1"/>
          <w:sz w:val="24"/>
        </w:rPr>
        <w:t>投标日期</w:t>
      </w:r>
      <w:r>
        <w:rPr>
          <w:rFonts w:ascii="仿宋" w:hAnsi="仿宋" w:eastAsia="仿宋"/>
          <w:bCs/>
          <w:color w:val="000000" w:themeColor="text1"/>
          <w:sz w:val="24"/>
        </w:rPr>
        <w:t>:</w:t>
      </w:r>
      <w:r>
        <w:rPr>
          <w:rFonts w:hint="eastAsia" w:ascii="仿宋" w:hAnsi="仿宋" w:eastAsia="仿宋"/>
          <w:bCs/>
          <w:color w:val="000000" w:themeColor="text1"/>
          <w:sz w:val="24"/>
        </w:rPr>
        <w:t xml:space="preserve">    年    月    号</w:t>
      </w:r>
    </w:p>
    <w:p>
      <w:pPr>
        <w:spacing w:line="400" w:lineRule="exact"/>
        <w:rPr>
          <w:rFonts w:ascii="仿宋" w:hAnsi="仿宋" w:eastAsia="仿宋"/>
          <w:bCs/>
          <w:color w:val="000000" w:themeColor="text1"/>
          <w:sz w:val="28"/>
          <w:szCs w:val="28"/>
        </w:rPr>
      </w:pPr>
    </w:p>
    <w:p>
      <w:pPr>
        <w:spacing w:line="400" w:lineRule="exact"/>
        <w:rPr>
          <w:rFonts w:ascii="仿宋" w:hAnsi="仿宋" w:eastAsia="仿宋"/>
          <w:bCs/>
          <w:color w:val="000000" w:themeColor="text1"/>
          <w:sz w:val="28"/>
          <w:szCs w:val="28"/>
        </w:rPr>
      </w:pPr>
    </w:p>
    <w:p>
      <w:pPr>
        <w:spacing w:line="400" w:lineRule="exact"/>
        <w:rPr>
          <w:rFonts w:ascii="仿宋" w:hAnsi="仿宋" w:eastAsia="仿宋"/>
          <w:bCs/>
          <w:color w:val="000000" w:themeColor="text1"/>
          <w:sz w:val="28"/>
          <w:szCs w:val="28"/>
        </w:rPr>
      </w:pPr>
    </w:p>
    <w:p>
      <w:pPr>
        <w:spacing w:line="400" w:lineRule="exact"/>
        <w:rPr>
          <w:rFonts w:ascii="仿宋" w:hAnsi="仿宋" w:eastAsia="仿宋"/>
          <w:bCs/>
          <w:color w:val="000000" w:themeColor="text1"/>
          <w:sz w:val="28"/>
          <w:szCs w:val="28"/>
        </w:rPr>
      </w:pPr>
    </w:p>
    <w:p>
      <w:pPr>
        <w:ind w:firstLine="1024" w:firstLineChars="300"/>
        <w:rPr>
          <w:rFonts w:ascii="仿宋" w:hAnsi="仿宋" w:eastAsia="仿宋"/>
          <w:b/>
          <w:color w:val="000000" w:themeColor="text1"/>
          <w:szCs w:val="28"/>
        </w:rPr>
      </w:pPr>
      <w:bookmarkStart w:id="159" w:name="_Toc217446088"/>
      <w:r>
        <w:rPr>
          <w:rFonts w:hint="eastAsia" w:ascii="仿宋" w:hAnsi="仿宋" w:eastAsia="仿宋"/>
          <w:b/>
          <w:bCs/>
          <w:color w:val="000000" w:themeColor="text1"/>
          <w:szCs w:val="28"/>
        </w:rPr>
        <w:t>五、</w:t>
      </w:r>
      <w:bookmarkEnd w:id="159"/>
      <w:r>
        <w:rPr>
          <w:rFonts w:hint="eastAsia" w:ascii="仿宋" w:hAnsi="仿宋" w:eastAsia="仿宋"/>
          <w:b/>
          <w:bCs/>
          <w:color w:val="000000" w:themeColor="text1"/>
          <w:szCs w:val="28"/>
          <w:lang w:val="en-US" w:eastAsia="zh-CN"/>
        </w:rPr>
        <w:t>自动驾驶</w:t>
      </w:r>
      <w:r>
        <w:rPr>
          <w:rFonts w:hint="eastAsia" w:ascii="仿宋" w:hAnsi="仿宋" w:eastAsia="仿宋"/>
          <w:b/>
          <w:color w:val="000000" w:themeColor="text1"/>
          <w:szCs w:val="28"/>
        </w:rPr>
        <w:t>技术</w:t>
      </w:r>
      <w:r>
        <w:rPr>
          <w:rFonts w:ascii="仿宋" w:hAnsi="仿宋" w:eastAsia="仿宋"/>
          <w:b/>
          <w:color w:val="000000" w:themeColor="text1"/>
          <w:szCs w:val="28"/>
        </w:rPr>
        <w:t>服务</w:t>
      </w:r>
      <w:r>
        <w:rPr>
          <w:rFonts w:hint="eastAsia" w:ascii="仿宋" w:hAnsi="仿宋" w:eastAsia="仿宋"/>
          <w:b/>
          <w:color w:val="000000" w:themeColor="text1"/>
          <w:szCs w:val="28"/>
        </w:rPr>
        <w:t xml:space="preserve">达到技术要求                     </w:t>
      </w: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r>
        <w:rPr>
          <w:rFonts w:hint="eastAsia" w:ascii="仿宋" w:hAnsi="仿宋" w:eastAsia="仿宋"/>
          <w:bCs/>
          <w:color w:val="000000" w:themeColor="text1"/>
          <w:sz w:val="24"/>
        </w:rPr>
        <w:t>投标人名称：      （盖章）</w:t>
      </w:r>
    </w:p>
    <w:p>
      <w:pPr>
        <w:adjustRightInd w:val="0"/>
        <w:spacing w:line="400" w:lineRule="exact"/>
        <w:ind w:firstLine="420" w:firstLineChars="175"/>
        <w:jc w:val="left"/>
        <w:rPr>
          <w:rFonts w:ascii="仿宋" w:hAnsi="仿宋" w:eastAsia="仿宋"/>
          <w:bCs/>
          <w:color w:val="000000" w:themeColor="text1"/>
          <w:sz w:val="24"/>
        </w:rPr>
      </w:pPr>
      <w:r>
        <w:rPr>
          <w:rFonts w:hint="eastAsia" w:ascii="仿宋" w:hAnsi="仿宋" w:eastAsia="仿宋"/>
          <w:color w:val="000000" w:themeColor="text1"/>
          <w:sz w:val="24"/>
        </w:rPr>
        <w:t>法定代表人或授权代表（签字）</w:t>
      </w:r>
      <w:r>
        <w:rPr>
          <w:rFonts w:hint="eastAsia" w:ascii="仿宋" w:hAnsi="仿宋" w:eastAsia="仿宋"/>
          <w:bCs/>
          <w:color w:val="000000" w:themeColor="text1"/>
          <w:sz w:val="24"/>
        </w:rPr>
        <w:t>：</w:t>
      </w:r>
    </w:p>
    <w:p>
      <w:pPr>
        <w:spacing w:line="400" w:lineRule="exact"/>
        <w:ind w:firstLine="480" w:firstLineChars="200"/>
        <w:rPr>
          <w:rFonts w:ascii="仿宋" w:hAnsi="仿宋" w:eastAsia="仿宋"/>
          <w:bCs/>
          <w:color w:val="000000" w:themeColor="text1"/>
          <w:sz w:val="24"/>
        </w:rPr>
      </w:pPr>
      <w:r>
        <w:rPr>
          <w:rFonts w:hint="eastAsia" w:ascii="仿宋" w:hAnsi="仿宋" w:eastAsia="仿宋"/>
          <w:bCs/>
          <w:color w:val="000000" w:themeColor="text1"/>
          <w:sz w:val="24"/>
        </w:rPr>
        <w:t>投标日期</w:t>
      </w:r>
      <w:r>
        <w:rPr>
          <w:rFonts w:ascii="仿宋" w:hAnsi="仿宋" w:eastAsia="仿宋"/>
          <w:bCs/>
          <w:color w:val="000000" w:themeColor="text1"/>
          <w:sz w:val="24"/>
        </w:rPr>
        <w:t>:</w:t>
      </w:r>
      <w:r>
        <w:rPr>
          <w:rFonts w:hint="eastAsia" w:ascii="仿宋" w:hAnsi="仿宋" w:eastAsia="仿宋"/>
          <w:bCs/>
          <w:color w:val="000000" w:themeColor="text1"/>
          <w:sz w:val="24"/>
        </w:rPr>
        <w:t xml:space="preserve">    年    月    号</w:t>
      </w:r>
    </w:p>
    <w:p>
      <w:pPr>
        <w:pStyle w:val="3"/>
        <w:spacing w:line="400" w:lineRule="exact"/>
        <w:jc w:val="center"/>
        <w:rPr>
          <w:rFonts w:ascii="仿宋" w:hAnsi="仿宋" w:eastAsia="仿宋"/>
          <w:bCs w:val="0"/>
          <w:color w:val="000000" w:themeColor="text1"/>
          <w:szCs w:val="28"/>
        </w:rPr>
      </w:pPr>
    </w:p>
    <w:p>
      <w:pPr>
        <w:pStyle w:val="3"/>
        <w:spacing w:line="400" w:lineRule="exact"/>
        <w:jc w:val="center"/>
        <w:rPr>
          <w:rFonts w:ascii="仿宋" w:hAnsi="仿宋" w:eastAsia="仿宋" w:cs="Arial"/>
          <w:color w:val="000000" w:themeColor="text1"/>
          <w:szCs w:val="28"/>
        </w:rPr>
      </w:pPr>
      <w:r>
        <w:rPr>
          <w:rFonts w:hint="eastAsia" w:ascii="仿宋" w:hAnsi="仿宋" w:eastAsia="仿宋"/>
          <w:bCs w:val="0"/>
          <w:color w:val="000000" w:themeColor="text1"/>
          <w:szCs w:val="28"/>
        </w:rPr>
        <w:t>六、投标人本项目管理、技术、服务人员情况表</w:t>
      </w:r>
    </w:p>
    <w:p>
      <w:pPr>
        <w:spacing w:line="400" w:lineRule="exact"/>
        <w:rPr>
          <w:rFonts w:ascii="仿宋" w:hAnsi="仿宋" w:eastAsia="仿宋" w:cs="Arial"/>
          <w:b/>
          <w:bCs/>
          <w:color w:val="000000" w:themeColor="text1"/>
          <w:sz w:val="28"/>
        </w:rPr>
      </w:pPr>
    </w:p>
    <w:p>
      <w:pPr>
        <w:spacing w:line="400" w:lineRule="exact"/>
        <w:rPr>
          <w:rFonts w:ascii="仿宋" w:hAnsi="仿宋" w:eastAsia="仿宋" w:cs="Arial"/>
          <w:bCs/>
          <w:color w:val="000000" w:themeColor="text1"/>
          <w:sz w:val="24"/>
        </w:rPr>
      </w:pPr>
      <w:r>
        <w:rPr>
          <w:rFonts w:hint="eastAsia" w:ascii="仿宋" w:hAnsi="仿宋" w:eastAsia="仿宋" w:cs="Arial"/>
          <w:bCs/>
          <w:color w:val="000000" w:themeColor="text1"/>
          <w:sz w:val="24"/>
        </w:rPr>
        <w:t xml:space="preserve">                                         </w:t>
      </w:r>
    </w:p>
    <w:tbl>
      <w:tblPr>
        <w:tblStyle w:val="31"/>
        <w:tblW w:w="6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215"/>
        <w:gridCol w:w="1497"/>
        <w:gridCol w:w="121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20" w:type="dxa"/>
            <w:vMerge w:val="restart"/>
            <w:vAlign w:val="center"/>
          </w:tcPr>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类别</w:t>
            </w:r>
          </w:p>
        </w:tc>
        <w:tc>
          <w:tcPr>
            <w:tcW w:w="1215" w:type="dxa"/>
            <w:vMerge w:val="restart"/>
            <w:vAlign w:val="center"/>
          </w:tcPr>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职务</w:t>
            </w:r>
          </w:p>
        </w:tc>
        <w:tc>
          <w:tcPr>
            <w:tcW w:w="1497" w:type="dxa"/>
            <w:vMerge w:val="restart"/>
            <w:vAlign w:val="center"/>
          </w:tcPr>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姓名</w:t>
            </w:r>
          </w:p>
        </w:tc>
        <w:tc>
          <w:tcPr>
            <w:tcW w:w="1218" w:type="dxa"/>
            <w:vMerge w:val="restart"/>
            <w:vAlign w:val="center"/>
          </w:tcPr>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职称</w:t>
            </w:r>
          </w:p>
        </w:tc>
        <w:tc>
          <w:tcPr>
            <w:tcW w:w="1080" w:type="dxa"/>
            <w:vMerge w:val="restart"/>
            <w:vAlign w:val="center"/>
          </w:tcPr>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20" w:type="dxa"/>
            <w:vMerge w:val="continue"/>
            <w:vAlign w:val="center"/>
          </w:tcPr>
          <w:p>
            <w:pPr>
              <w:pStyle w:val="75"/>
              <w:ind w:firstLine="420" w:firstLineChars="200"/>
              <w:rPr>
                <w:rFonts w:ascii="仿宋" w:hAnsi="仿宋" w:eastAsia="仿宋"/>
                <w:color w:val="000000" w:themeColor="text1"/>
                <w:sz w:val="21"/>
                <w:szCs w:val="21"/>
              </w:rPr>
            </w:pPr>
          </w:p>
        </w:tc>
        <w:tc>
          <w:tcPr>
            <w:tcW w:w="1215" w:type="dxa"/>
            <w:vMerge w:val="continue"/>
            <w:vAlign w:val="center"/>
          </w:tcPr>
          <w:p>
            <w:pPr>
              <w:pStyle w:val="75"/>
              <w:ind w:firstLine="420" w:firstLineChars="200"/>
              <w:rPr>
                <w:rFonts w:ascii="仿宋" w:hAnsi="仿宋" w:eastAsia="仿宋"/>
                <w:color w:val="000000" w:themeColor="text1"/>
                <w:sz w:val="21"/>
                <w:szCs w:val="21"/>
              </w:rPr>
            </w:pPr>
          </w:p>
        </w:tc>
        <w:tc>
          <w:tcPr>
            <w:tcW w:w="1497" w:type="dxa"/>
            <w:vMerge w:val="continue"/>
            <w:vAlign w:val="center"/>
          </w:tcPr>
          <w:p>
            <w:pPr>
              <w:pStyle w:val="75"/>
              <w:ind w:firstLine="420" w:firstLineChars="200"/>
              <w:rPr>
                <w:rFonts w:ascii="仿宋" w:hAnsi="仿宋" w:eastAsia="仿宋"/>
                <w:color w:val="000000" w:themeColor="text1"/>
                <w:sz w:val="21"/>
                <w:szCs w:val="21"/>
              </w:rPr>
            </w:pPr>
          </w:p>
        </w:tc>
        <w:tc>
          <w:tcPr>
            <w:tcW w:w="1218" w:type="dxa"/>
            <w:vMerge w:val="continue"/>
            <w:vAlign w:val="center"/>
          </w:tcPr>
          <w:p>
            <w:pPr>
              <w:pStyle w:val="75"/>
              <w:ind w:firstLine="420" w:firstLineChars="200"/>
              <w:rPr>
                <w:rFonts w:ascii="仿宋" w:hAnsi="仿宋" w:eastAsia="仿宋"/>
                <w:color w:val="000000" w:themeColor="text1"/>
                <w:sz w:val="21"/>
                <w:szCs w:val="21"/>
              </w:rPr>
            </w:pPr>
          </w:p>
        </w:tc>
        <w:tc>
          <w:tcPr>
            <w:tcW w:w="1080" w:type="dxa"/>
            <w:vMerge w:val="continue"/>
            <w:vAlign w:val="center"/>
          </w:tcPr>
          <w:p>
            <w:pPr>
              <w:pStyle w:val="75"/>
              <w:ind w:firstLine="420" w:firstLineChars="200"/>
              <w:rPr>
                <w:rFonts w:ascii="仿宋" w:hAnsi="仿宋" w:eastAsia="仿宋"/>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20" w:type="dxa"/>
            <w:vMerge w:val="restart"/>
          </w:tcPr>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管</w:t>
            </w:r>
          </w:p>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理</w:t>
            </w:r>
          </w:p>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人</w:t>
            </w:r>
          </w:p>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员</w:t>
            </w:r>
          </w:p>
        </w:tc>
        <w:tc>
          <w:tcPr>
            <w:tcW w:w="1215" w:type="dxa"/>
          </w:tcPr>
          <w:p>
            <w:pPr>
              <w:spacing w:line="400" w:lineRule="exact"/>
              <w:jc w:val="center"/>
              <w:rPr>
                <w:rFonts w:ascii="仿宋" w:hAnsi="仿宋" w:eastAsia="仿宋" w:cs="Arial"/>
                <w:color w:val="000000" w:themeColor="text1"/>
                <w:sz w:val="28"/>
              </w:rPr>
            </w:pPr>
          </w:p>
        </w:tc>
        <w:tc>
          <w:tcPr>
            <w:tcW w:w="1497" w:type="dxa"/>
          </w:tcPr>
          <w:p>
            <w:pPr>
              <w:spacing w:line="400" w:lineRule="exact"/>
              <w:jc w:val="center"/>
              <w:rPr>
                <w:rFonts w:ascii="仿宋" w:hAnsi="仿宋" w:eastAsia="仿宋" w:cs="Arial"/>
                <w:color w:val="000000" w:themeColor="text1"/>
                <w:sz w:val="28"/>
              </w:rPr>
            </w:pPr>
          </w:p>
        </w:tc>
        <w:tc>
          <w:tcPr>
            <w:tcW w:w="1218" w:type="dxa"/>
          </w:tcPr>
          <w:p>
            <w:pPr>
              <w:spacing w:line="400" w:lineRule="exact"/>
              <w:jc w:val="center"/>
              <w:rPr>
                <w:rFonts w:ascii="仿宋" w:hAnsi="仿宋" w:eastAsia="仿宋" w:cs="Arial"/>
                <w:color w:val="000000" w:themeColor="text1"/>
                <w:sz w:val="28"/>
              </w:rPr>
            </w:pPr>
          </w:p>
        </w:tc>
        <w:tc>
          <w:tcPr>
            <w:tcW w:w="1080" w:type="dxa"/>
          </w:tcPr>
          <w:p>
            <w:pPr>
              <w:spacing w:line="400" w:lineRule="exact"/>
              <w:jc w:val="center"/>
              <w:rPr>
                <w:rFonts w:ascii="仿宋" w:hAnsi="仿宋" w:eastAsia="仿宋" w:cs="Arial"/>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20" w:type="dxa"/>
            <w:vMerge w:val="continue"/>
          </w:tcPr>
          <w:p>
            <w:pPr>
              <w:pStyle w:val="75"/>
              <w:ind w:firstLine="420" w:firstLineChars="200"/>
              <w:rPr>
                <w:rFonts w:ascii="仿宋" w:hAnsi="仿宋" w:eastAsia="仿宋"/>
                <w:color w:val="000000" w:themeColor="text1"/>
                <w:sz w:val="21"/>
                <w:szCs w:val="21"/>
              </w:rPr>
            </w:pPr>
          </w:p>
        </w:tc>
        <w:tc>
          <w:tcPr>
            <w:tcW w:w="1215" w:type="dxa"/>
          </w:tcPr>
          <w:p>
            <w:pPr>
              <w:spacing w:line="400" w:lineRule="exact"/>
              <w:jc w:val="center"/>
              <w:rPr>
                <w:rFonts w:ascii="仿宋" w:hAnsi="仿宋" w:eastAsia="仿宋" w:cs="Arial"/>
                <w:color w:val="000000" w:themeColor="text1"/>
                <w:sz w:val="28"/>
              </w:rPr>
            </w:pPr>
          </w:p>
        </w:tc>
        <w:tc>
          <w:tcPr>
            <w:tcW w:w="1497" w:type="dxa"/>
          </w:tcPr>
          <w:p>
            <w:pPr>
              <w:spacing w:line="400" w:lineRule="exact"/>
              <w:jc w:val="center"/>
              <w:rPr>
                <w:rFonts w:ascii="仿宋" w:hAnsi="仿宋" w:eastAsia="仿宋" w:cs="Arial"/>
                <w:color w:val="000000" w:themeColor="text1"/>
                <w:sz w:val="28"/>
              </w:rPr>
            </w:pPr>
          </w:p>
        </w:tc>
        <w:tc>
          <w:tcPr>
            <w:tcW w:w="1218" w:type="dxa"/>
          </w:tcPr>
          <w:p>
            <w:pPr>
              <w:spacing w:line="400" w:lineRule="exact"/>
              <w:jc w:val="center"/>
              <w:rPr>
                <w:rFonts w:ascii="仿宋" w:hAnsi="仿宋" w:eastAsia="仿宋" w:cs="Arial"/>
                <w:color w:val="000000" w:themeColor="text1"/>
                <w:sz w:val="28"/>
              </w:rPr>
            </w:pPr>
          </w:p>
        </w:tc>
        <w:tc>
          <w:tcPr>
            <w:tcW w:w="1080" w:type="dxa"/>
          </w:tcPr>
          <w:p>
            <w:pPr>
              <w:spacing w:line="400" w:lineRule="exact"/>
              <w:jc w:val="center"/>
              <w:rPr>
                <w:rFonts w:ascii="仿宋" w:hAnsi="仿宋" w:eastAsia="仿宋" w:cs="Arial"/>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20" w:type="dxa"/>
            <w:vMerge w:val="continue"/>
          </w:tcPr>
          <w:p>
            <w:pPr>
              <w:pStyle w:val="75"/>
              <w:ind w:firstLine="420" w:firstLineChars="200"/>
              <w:rPr>
                <w:rFonts w:ascii="仿宋" w:hAnsi="仿宋" w:eastAsia="仿宋"/>
                <w:color w:val="000000" w:themeColor="text1"/>
                <w:sz w:val="21"/>
                <w:szCs w:val="21"/>
              </w:rPr>
            </w:pPr>
          </w:p>
        </w:tc>
        <w:tc>
          <w:tcPr>
            <w:tcW w:w="1215" w:type="dxa"/>
          </w:tcPr>
          <w:p>
            <w:pPr>
              <w:spacing w:line="400" w:lineRule="exact"/>
              <w:jc w:val="center"/>
              <w:rPr>
                <w:rFonts w:ascii="仿宋" w:hAnsi="仿宋" w:eastAsia="仿宋" w:cs="Arial"/>
                <w:color w:val="000000" w:themeColor="text1"/>
                <w:sz w:val="28"/>
              </w:rPr>
            </w:pPr>
          </w:p>
        </w:tc>
        <w:tc>
          <w:tcPr>
            <w:tcW w:w="1497" w:type="dxa"/>
          </w:tcPr>
          <w:p>
            <w:pPr>
              <w:spacing w:line="400" w:lineRule="exact"/>
              <w:jc w:val="center"/>
              <w:rPr>
                <w:rFonts w:ascii="仿宋" w:hAnsi="仿宋" w:eastAsia="仿宋" w:cs="Arial"/>
                <w:color w:val="000000" w:themeColor="text1"/>
                <w:sz w:val="28"/>
              </w:rPr>
            </w:pPr>
          </w:p>
        </w:tc>
        <w:tc>
          <w:tcPr>
            <w:tcW w:w="1218" w:type="dxa"/>
          </w:tcPr>
          <w:p>
            <w:pPr>
              <w:spacing w:line="400" w:lineRule="exact"/>
              <w:jc w:val="center"/>
              <w:rPr>
                <w:rFonts w:ascii="仿宋" w:hAnsi="仿宋" w:eastAsia="仿宋" w:cs="Arial"/>
                <w:color w:val="000000" w:themeColor="text1"/>
                <w:sz w:val="28"/>
              </w:rPr>
            </w:pPr>
          </w:p>
        </w:tc>
        <w:tc>
          <w:tcPr>
            <w:tcW w:w="1080" w:type="dxa"/>
          </w:tcPr>
          <w:p>
            <w:pPr>
              <w:spacing w:line="400" w:lineRule="exact"/>
              <w:jc w:val="center"/>
              <w:rPr>
                <w:rFonts w:ascii="仿宋" w:hAnsi="仿宋" w:eastAsia="仿宋" w:cs="Arial"/>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20" w:type="dxa"/>
            <w:vMerge w:val="restart"/>
          </w:tcPr>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技</w:t>
            </w:r>
          </w:p>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术</w:t>
            </w:r>
          </w:p>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人</w:t>
            </w:r>
          </w:p>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员</w:t>
            </w:r>
          </w:p>
        </w:tc>
        <w:tc>
          <w:tcPr>
            <w:tcW w:w="1215" w:type="dxa"/>
          </w:tcPr>
          <w:p>
            <w:pPr>
              <w:spacing w:line="400" w:lineRule="exact"/>
              <w:jc w:val="center"/>
              <w:rPr>
                <w:rFonts w:ascii="仿宋" w:hAnsi="仿宋" w:eastAsia="仿宋" w:cs="Arial"/>
                <w:color w:val="000000" w:themeColor="text1"/>
                <w:sz w:val="28"/>
              </w:rPr>
            </w:pPr>
          </w:p>
        </w:tc>
        <w:tc>
          <w:tcPr>
            <w:tcW w:w="1497" w:type="dxa"/>
          </w:tcPr>
          <w:p>
            <w:pPr>
              <w:spacing w:line="400" w:lineRule="exact"/>
              <w:jc w:val="center"/>
              <w:rPr>
                <w:rFonts w:ascii="仿宋" w:hAnsi="仿宋" w:eastAsia="仿宋" w:cs="Arial"/>
                <w:color w:val="000000" w:themeColor="text1"/>
                <w:sz w:val="28"/>
              </w:rPr>
            </w:pPr>
          </w:p>
        </w:tc>
        <w:tc>
          <w:tcPr>
            <w:tcW w:w="1218" w:type="dxa"/>
          </w:tcPr>
          <w:p>
            <w:pPr>
              <w:spacing w:line="400" w:lineRule="exact"/>
              <w:jc w:val="center"/>
              <w:rPr>
                <w:rFonts w:ascii="仿宋" w:hAnsi="仿宋" w:eastAsia="仿宋" w:cs="Arial"/>
                <w:color w:val="000000" w:themeColor="text1"/>
                <w:sz w:val="28"/>
              </w:rPr>
            </w:pPr>
          </w:p>
        </w:tc>
        <w:tc>
          <w:tcPr>
            <w:tcW w:w="1080" w:type="dxa"/>
          </w:tcPr>
          <w:p>
            <w:pPr>
              <w:spacing w:line="400" w:lineRule="exact"/>
              <w:jc w:val="center"/>
              <w:rPr>
                <w:rFonts w:ascii="仿宋" w:hAnsi="仿宋" w:eastAsia="仿宋" w:cs="Arial"/>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20" w:type="dxa"/>
            <w:vMerge w:val="continue"/>
          </w:tcPr>
          <w:p>
            <w:pPr>
              <w:pStyle w:val="75"/>
              <w:ind w:firstLine="420" w:firstLineChars="200"/>
              <w:rPr>
                <w:rFonts w:ascii="仿宋" w:hAnsi="仿宋" w:eastAsia="仿宋"/>
                <w:color w:val="000000" w:themeColor="text1"/>
                <w:sz w:val="21"/>
                <w:szCs w:val="21"/>
              </w:rPr>
            </w:pPr>
          </w:p>
        </w:tc>
        <w:tc>
          <w:tcPr>
            <w:tcW w:w="1215" w:type="dxa"/>
          </w:tcPr>
          <w:p>
            <w:pPr>
              <w:spacing w:line="400" w:lineRule="exact"/>
              <w:jc w:val="center"/>
              <w:rPr>
                <w:rFonts w:ascii="仿宋" w:hAnsi="仿宋" w:eastAsia="仿宋" w:cs="Arial"/>
                <w:color w:val="000000" w:themeColor="text1"/>
                <w:sz w:val="28"/>
              </w:rPr>
            </w:pPr>
          </w:p>
        </w:tc>
        <w:tc>
          <w:tcPr>
            <w:tcW w:w="1497" w:type="dxa"/>
          </w:tcPr>
          <w:p>
            <w:pPr>
              <w:spacing w:line="400" w:lineRule="exact"/>
              <w:jc w:val="center"/>
              <w:rPr>
                <w:rFonts w:ascii="仿宋" w:hAnsi="仿宋" w:eastAsia="仿宋" w:cs="Arial"/>
                <w:color w:val="000000" w:themeColor="text1"/>
                <w:sz w:val="28"/>
              </w:rPr>
            </w:pPr>
          </w:p>
        </w:tc>
        <w:tc>
          <w:tcPr>
            <w:tcW w:w="1218" w:type="dxa"/>
          </w:tcPr>
          <w:p>
            <w:pPr>
              <w:spacing w:line="400" w:lineRule="exact"/>
              <w:jc w:val="center"/>
              <w:rPr>
                <w:rFonts w:ascii="仿宋" w:hAnsi="仿宋" w:eastAsia="仿宋" w:cs="Arial"/>
                <w:color w:val="000000" w:themeColor="text1"/>
                <w:sz w:val="28"/>
              </w:rPr>
            </w:pPr>
          </w:p>
        </w:tc>
        <w:tc>
          <w:tcPr>
            <w:tcW w:w="1080" w:type="dxa"/>
          </w:tcPr>
          <w:p>
            <w:pPr>
              <w:spacing w:line="400" w:lineRule="exact"/>
              <w:jc w:val="center"/>
              <w:rPr>
                <w:rFonts w:ascii="仿宋" w:hAnsi="仿宋" w:eastAsia="仿宋" w:cs="Arial"/>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20" w:type="dxa"/>
            <w:vMerge w:val="continue"/>
          </w:tcPr>
          <w:p>
            <w:pPr>
              <w:pStyle w:val="75"/>
              <w:ind w:firstLine="420" w:firstLineChars="200"/>
              <w:rPr>
                <w:rFonts w:ascii="仿宋" w:hAnsi="仿宋" w:eastAsia="仿宋"/>
                <w:color w:val="000000" w:themeColor="text1"/>
                <w:sz w:val="21"/>
                <w:szCs w:val="21"/>
              </w:rPr>
            </w:pPr>
          </w:p>
        </w:tc>
        <w:tc>
          <w:tcPr>
            <w:tcW w:w="1215" w:type="dxa"/>
          </w:tcPr>
          <w:p>
            <w:pPr>
              <w:spacing w:line="400" w:lineRule="exact"/>
              <w:jc w:val="center"/>
              <w:rPr>
                <w:rFonts w:ascii="仿宋" w:hAnsi="仿宋" w:eastAsia="仿宋" w:cs="Arial"/>
                <w:color w:val="000000" w:themeColor="text1"/>
                <w:sz w:val="28"/>
              </w:rPr>
            </w:pPr>
          </w:p>
        </w:tc>
        <w:tc>
          <w:tcPr>
            <w:tcW w:w="1497" w:type="dxa"/>
          </w:tcPr>
          <w:p>
            <w:pPr>
              <w:spacing w:line="400" w:lineRule="exact"/>
              <w:jc w:val="center"/>
              <w:rPr>
                <w:rFonts w:ascii="仿宋" w:hAnsi="仿宋" w:eastAsia="仿宋" w:cs="Arial"/>
                <w:color w:val="000000" w:themeColor="text1"/>
                <w:sz w:val="28"/>
              </w:rPr>
            </w:pPr>
          </w:p>
        </w:tc>
        <w:tc>
          <w:tcPr>
            <w:tcW w:w="1218" w:type="dxa"/>
          </w:tcPr>
          <w:p>
            <w:pPr>
              <w:spacing w:line="400" w:lineRule="exact"/>
              <w:jc w:val="center"/>
              <w:rPr>
                <w:rFonts w:ascii="仿宋" w:hAnsi="仿宋" w:eastAsia="仿宋" w:cs="Arial"/>
                <w:color w:val="000000" w:themeColor="text1"/>
                <w:sz w:val="28"/>
              </w:rPr>
            </w:pPr>
          </w:p>
        </w:tc>
        <w:tc>
          <w:tcPr>
            <w:tcW w:w="1080" w:type="dxa"/>
          </w:tcPr>
          <w:p>
            <w:pPr>
              <w:spacing w:line="400" w:lineRule="exact"/>
              <w:jc w:val="center"/>
              <w:rPr>
                <w:rFonts w:ascii="仿宋" w:hAnsi="仿宋" w:eastAsia="仿宋" w:cs="Arial"/>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20" w:type="dxa"/>
            <w:vMerge w:val="restart"/>
          </w:tcPr>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售后</w:t>
            </w:r>
          </w:p>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服务</w:t>
            </w:r>
          </w:p>
          <w:p>
            <w:pPr>
              <w:pStyle w:val="75"/>
              <w:rPr>
                <w:rFonts w:ascii="仿宋" w:hAnsi="仿宋" w:eastAsia="仿宋"/>
                <w:color w:val="000000" w:themeColor="text1"/>
                <w:sz w:val="21"/>
                <w:szCs w:val="21"/>
              </w:rPr>
            </w:pPr>
            <w:r>
              <w:rPr>
                <w:rFonts w:hint="eastAsia" w:ascii="仿宋" w:hAnsi="仿宋" w:eastAsia="仿宋"/>
                <w:color w:val="000000" w:themeColor="text1"/>
                <w:sz w:val="21"/>
                <w:szCs w:val="21"/>
              </w:rPr>
              <w:t>人员</w:t>
            </w:r>
          </w:p>
        </w:tc>
        <w:tc>
          <w:tcPr>
            <w:tcW w:w="1215" w:type="dxa"/>
          </w:tcPr>
          <w:p>
            <w:pPr>
              <w:spacing w:line="400" w:lineRule="exact"/>
              <w:jc w:val="center"/>
              <w:rPr>
                <w:rFonts w:ascii="仿宋" w:hAnsi="仿宋" w:eastAsia="仿宋" w:cs="Arial"/>
                <w:color w:val="000000" w:themeColor="text1"/>
                <w:sz w:val="28"/>
              </w:rPr>
            </w:pPr>
          </w:p>
        </w:tc>
        <w:tc>
          <w:tcPr>
            <w:tcW w:w="1497" w:type="dxa"/>
          </w:tcPr>
          <w:p>
            <w:pPr>
              <w:spacing w:line="400" w:lineRule="exact"/>
              <w:jc w:val="center"/>
              <w:rPr>
                <w:rFonts w:ascii="仿宋" w:hAnsi="仿宋" w:eastAsia="仿宋" w:cs="Arial"/>
                <w:color w:val="000000" w:themeColor="text1"/>
                <w:sz w:val="28"/>
              </w:rPr>
            </w:pPr>
          </w:p>
        </w:tc>
        <w:tc>
          <w:tcPr>
            <w:tcW w:w="1218" w:type="dxa"/>
          </w:tcPr>
          <w:p>
            <w:pPr>
              <w:spacing w:line="400" w:lineRule="exact"/>
              <w:jc w:val="center"/>
              <w:rPr>
                <w:rFonts w:ascii="仿宋" w:hAnsi="仿宋" w:eastAsia="仿宋" w:cs="Arial"/>
                <w:color w:val="000000" w:themeColor="text1"/>
                <w:sz w:val="28"/>
              </w:rPr>
            </w:pPr>
          </w:p>
        </w:tc>
        <w:tc>
          <w:tcPr>
            <w:tcW w:w="1080" w:type="dxa"/>
          </w:tcPr>
          <w:p>
            <w:pPr>
              <w:spacing w:line="400" w:lineRule="exact"/>
              <w:jc w:val="center"/>
              <w:rPr>
                <w:rFonts w:ascii="仿宋" w:hAnsi="仿宋" w:eastAsia="仿宋" w:cs="Arial"/>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20" w:type="dxa"/>
            <w:vMerge w:val="continue"/>
          </w:tcPr>
          <w:p>
            <w:pPr>
              <w:spacing w:line="400" w:lineRule="exact"/>
              <w:jc w:val="center"/>
              <w:rPr>
                <w:rFonts w:ascii="仿宋" w:hAnsi="仿宋" w:eastAsia="仿宋" w:cs="Arial"/>
                <w:color w:val="000000" w:themeColor="text1"/>
                <w:sz w:val="28"/>
              </w:rPr>
            </w:pPr>
          </w:p>
        </w:tc>
        <w:tc>
          <w:tcPr>
            <w:tcW w:w="1215" w:type="dxa"/>
          </w:tcPr>
          <w:p>
            <w:pPr>
              <w:spacing w:line="400" w:lineRule="exact"/>
              <w:jc w:val="center"/>
              <w:rPr>
                <w:rFonts w:ascii="仿宋" w:hAnsi="仿宋" w:eastAsia="仿宋" w:cs="Arial"/>
                <w:color w:val="000000" w:themeColor="text1"/>
                <w:sz w:val="28"/>
              </w:rPr>
            </w:pPr>
          </w:p>
        </w:tc>
        <w:tc>
          <w:tcPr>
            <w:tcW w:w="1497" w:type="dxa"/>
          </w:tcPr>
          <w:p>
            <w:pPr>
              <w:spacing w:line="400" w:lineRule="exact"/>
              <w:jc w:val="center"/>
              <w:rPr>
                <w:rFonts w:ascii="仿宋" w:hAnsi="仿宋" w:eastAsia="仿宋" w:cs="Arial"/>
                <w:b/>
                <w:bCs/>
                <w:color w:val="000000" w:themeColor="text1"/>
                <w:sz w:val="28"/>
              </w:rPr>
            </w:pPr>
          </w:p>
        </w:tc>
        <w:tc>
          <w:tcPr>
            <w:tcW w:w="1218" w:type="dxa"/>
          </w:tcPr>
          <w:p>
            <w:pPr>
              <w:spacing w:line="400" w:lineRule="exact"/>
              <w:jc w:val="center"/>
              <w:rPr>
                <w:rFonts w:ascii="仿宋" w:hAnsi="仿宋" w:eastAsia="仿宋" w:cs="Arial"/>
                <w:b/>
                <w:bCs/>
                <w:color w:val="000000" w:themeColor="text1"/>
                <w:sz w:val="28"/>
              </w:rPr>
            </w:pPr>
          </w:p>
        </w:tc>
        <w:tc>
          <w:tcPr>
            <w:tcW w:w="1080" w:type="dxa"/>
          </w:tcPr>
          <w:p>
            <w:pPr>
              <w:spacing w:line="400" w:lineRule="exact"/>
              <w:jc w:val="center"/>
              <w:rPr>
                <w:rFonts w:ascii="仿宋" w:hAnsi="仿宋" w:eastAsia="仿宋" w:cs="Arial"/>
                <w:b/>
                <w:bCs/>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20" w:type="dxa"/>
            <w:vMerge w:val="continue"/>
          </w:tcPr>
          <w:p>
            <w:pPr>
              <w:spacing w:line="400" w:lineRule="exact"/>
              <w:jc w:val="center"/>
              <w:rPr>
                <w:rFonts w:ascii="仿宋" w:hAnsi="仿宋" w:eastAsia="仿宋" w:cs="Arial"/>
                <w:color w:val="000000" w:themeColor="text1"/>
                <w:sz w:val="28"/>
              </w:rPr>
            </w:pPr>
          </w:p>
        </w:tc>
        <w:tc>
          <w:tcPr>
            <w:tcW w:w="1215" w:type="dxa"/>
          </w:tcPr>
          <w:p>
            <w:pPr>
              <w:spacing w:line="400" w:lineRule="exact"/>
              <w:jc w:val="center"/>
              <w:rPr>
                <w:rFonts w:ascii="仿宋" w:hAnsi="仿宋" w:eastAsia="仿宋" w:cs="Arial"/>
                <w:color w:val="000000" w:themeColor="text1"/>
                <w:sz w:val="28"/>
              </w:rPr>
            </w:pPr>
          </w:p>
        </w:tc>
        <w:tc>
          <w:tcPr>
            <w:tcW w:w="1497" w:type="dxa"/>
          </w:tcPr>
          <w:p>
            <w:pPr>
              <w:spacing w:line="400" w:lineRule="exact"/>
              <w:jc w:val="center"/>
              <w:rPr>
                <w:rFonts w:ascii="仿宋" w:hAnsi="仿宋" w:eastAsia="仿宋" w:cs="Arial"/>
                <w:b/>
                <w:bCs/>
                <w:color w:val="000000" w:themeColor="text1"/>
                <w:sz w:val="28"/>
              </w:rPr>
            </w:pPr>
          </w:p>
        </w:tc>
        <w:tc>
          <w:tcPr>
            <w:tcW w:w="1218" w:type="dxa"/>
          </w:tcPr>
          <w:p>
            <w:pPr>
              <w:spacing w:line="400" w:lineRule="exact"/>
              <w:jc w:val="center"/>
              <w:rPr>
                <w:rFonts w:ascii="仿宋" w:hAnsi="仿宋" w:eastAsia="仿宋" w:cs="Arial"/>
                <w:b/>
                <w:bCs/>
                <w:color w:val="000000" w:themeColor="text1"/>
                <w:sz w:val="28"/>
              </w:rPr>
            </w:pPr>
          </w:p>
        </w:tc>
        <w:tc>
          <w:tcPr>
            <w:tcW w:w="1080" w:type="dxa"/>
          </w:tcPr>
          <w:p>
            <w:pPr>
              <w:spacing w:line="400" w:lineRule="exact"/>
              <w:jc w:val="center"/>
              <w:rPr>
                <w:rFonts w:ascii="仿宋" w:hAnsi="仿宋" w:eastAsia="仿宋" w:cs="Arial"/>
                <w:b/>
                <w:bCs/>
                <w:color w:val="000000" w:themeColor="text1"/>
                <w:sz w:val="28"/>
              </w:rPr>
            </w:pPr>
          </w:p>
        </w:tc>
      </w:tr>
    </w:tbl>
    <w:p>
      <w:pPr>
        <w:pStyle w:val="3"/>
        <w:spacing w:line="400" w:lineRule="exact"/>
        <w:jc w:val="center"/>
        <w:rPr>
          <w:rFonts w:ascii="仿宋" w:hAnsi="仿宋" w:eastAsia="仿宋"/>
          <w:bCs w:val="0"/>
          <w:color w:val="000000" w:themeColor="text1"/>
          <w:szCs w:val="28"/>
        </w:rPr>
      </w:pPr>
    </w:p>
    <w:p>
      <w:pPr>
        <w:autoSpaceDE w:val="0"/>
        <w:autoSpaceDN w:val="0"/>
        <w:adjustRightInd w:val="0"/>
        <w:spacing w:beforeLines="50" w:afterLines="50" w:line="400" w:lineRule="exact"/>
        <w:jc w:val="center"/>
        <w:rPr>
          <w:rFonts w:ascii="仿宋" w:hAnsi="仿宋" w:eastAsia="仿宋"/>
          <w:color w:val="000000" w:themeColor="text1"/>
          <w:sz w:val="20"/>
        </w:rPr>
      </w:pPr>
    </w:p>
    <w:p>
      <w:pPr>
        <w:spacing w:line="400" w:lineRule="exact"/>
        <w:outlineLvl w:val="1"/>
        <w:rPr>
          <w:rFonts w:ascii="仿宋" w:hAnsi="仿宋" w:eastAsia="仿宋"/>
          <w:b/>
          <w:color w:val="000000" w:themeColor="text1"/>
          <w:sz w:val="32"/>
          <w:szCs w:val="32"/>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r>
        <w:rPr>
          <w:rFonts w:hint="eastAsia" w:ascii="仿宋" w:hAnsi="仿宋" w:eastAsia="仿宋"/>
          <w:bCs/>
          <w:color w:val="000000" w:themeColor="text1"/>
          <w:sz w:val="24"/>
        </w:rPr>
        <w:t>投标人名称：                   （盖章）</w:t>
      </w:r>
    </w:p>
    <w:p>
      <w:pPr>
        <w:adjustRightInd w:val="0"/>
        <w:spacing w:line="400" w:lineRule="exact"/>
        <w:ind w:firstLine="420" w:firstLineChars="175"/>
        <w:jc w:val="left"/>
        <w:rPr>
          <w:rFonts w:ascii="仿宋" w:hAnsi="仿宋" w:eastAsia="仿宋"/>
          <w:bCs/>
          <w:color w:val="000000" w:themeColor="text1"/>
          <w:sz w:val="24"/>
        </w:rPr>
      </w:pPr>
      <w:r>
        <w:rPr>
          <w:rFonts w:hint="eastAsia" w:ascii="仿宋" w:hAnsi="仿宋" w:eastAsia="仿宋"/>
          <w:color w:val="000000" w:themeColor="text1"/>
          <w:sz w:val="24"/>
        </w:rPr>
        <w:t>法定代表人或授权代表（签字）</w:t>
      </w:r>
      <w:r>
        <w:rPr>
          <w:rFonts w:hint="eastAsia" w:ascii="仿宋" w:hAnsi="仿宋" w:eastAsia="仿宋"/>
          <w:bCs/>
          <w:color w:val="000000" w:themeColor="text1"/>
          <w:sz w:val="24"/>
        </w:rPr>
        <w:t>：</w:t>
      </w:r>
    </w:p>
    <w:p>
      <w:pPr>
        <w:spacing w:line="400" w:lineRule="exact"/>
        <w:ind w:firstLine="480" w:firstLineChars="200"/>
        <w:outlineLvl w:val="1"/>
        <w:rPr>
          <w:rFonts w:ascii="仿宋" w:hAnsi="仿宋" w:eastAsia="仿宋"/>
          <w:b/>
          <w:color w:val="000000" w:themeColor="text1"/>
          <w:sz w:val="24"/>
        </w:rPr>
      </w:pPr>
      <w:r>
        <w:rPr>
          <w:rFonts w:hint="eastAsia" w:ascii="仿宋" w:hAnsi="仿宋" w:eastAsia="仿宋"/>
          <w:bCs/>
          <w:color w:val="000000" w:themeColor="text1"/>
          <w:sz w:val="24"/>
        </w:rPr>
        <w:t>投标日期：    年    月   日</w:t>
      </w:r>
    </w:p>
    <w:p>
      <w:pPr>
        <w:spacing w:line="400" w:lineRule="exact"/>
        <w:rPr>
          <w:rFonts w:ascii="仿宋" w:hAnsi="仿宋" w:eastAsia="仿宋"/>
          <w:color w:val="000000" w:themeColor="text1"/>
        </w:rPr>
      </w:pPr>
    </w:p>
    <w:p>
      <w:pPr>
        <w:pStyle w:val="3"/>
        <w:spacing w:line="400" w:lineRule="exact"/>
        <w:jc w:val="center"/>
        <w:rPr>
          <w:rFonts w:ascii="仿宋" w:hAnsi="仿宋" w:eastAsia="仿宋" w:cs="Arial"/>
          <w:bCs w:val="0"/>
          <w:color w:val="000000" w:themeColor="text1"/>
          <w:szCs w:val="28"/>
        </w:rPr>
      </w:pPr>
      <w:bookmarkStart w:id="160" w:name="_Toc217446089"/>
    </w:p>
    <w:bookmarkEnd w:id="160"/>
    <w:p>
      <w:pPr>
        <w:spacing w:line="400" w:lineRule="exact"/>
        <w:ind w:left="360"/>
        <w:jc w:val="center"/>
        <w:rPr>
          <w:rFonts w:ascii="仿宋" w:hAnsi="仿宋" w:eastAsia="仿宋" w:cs="Arial"/>
          <w:color w:val="000000" w:themeColor="text1"/>
        </w:rPr>
      </w:pPr>
    </w:p>
    <w:p>
      <w:pPr>
        <w:pStyle w:val="3"/>
        <w:spacing w:line="400" w:lineRule="exact"/>
        <w:jc w:val="center"/>
        <w:rPr>
          <w:rFonts w:ascii="仿宋" w:hAnsi="仿宋" w:eastAsia="仿宋"/>
          <w:bCs w:val="0"/>
          <w:color w:val="000000" w:themeColor="text1"/>
          <w:szCs w:val="28"/>
        </w:rPr>
      </w:pPr>
      <w:r>
        <w:rPr>
          <w:rFonts w:hint="eastAsia" w:ascii="仿宋" w:hAnsi="仿宋" w:eastAsia="仿宋"/>
          <w:bCs w:val="0"/>
          <w:color w:val="000000" w:themeColor="text1"/>
          <w:szCs w:val="28"/>
        </w:rPr>
        <w:t>七、</w:t>
      </w:r>
      <w:r>
        <w:rPr>
          <w:rFonts w:hint="eastAsia" w:ascii="仿宋" w:hAnsi="仿宋" w:eastAsia="仿宋"/>
          <w:bCs w:val="0"/>
          <w:color w:val="000000" w:themeColor="text1"/>
          <w:szCs w:val="28"/>
          <w:lang w:val="en-US" w:eastAsia="zh-CN"/>
        </w:rPr>
        <w:t>技术</w:t>
      </w:r>
      <w:r>
        <w:rPr>
          <w:rFonts w:hint="eastAsia" w:ascii="仿宋" w:hAnsi="仿宋" w:eastAsia="仿宋"/>
          <w:bCs w:val="0"/>
          <w:color w:val="000000" w:themeColor="text1"/>
          <w:szCs w:val="28"/>
        </w:rPr>
        <w:t>服务质量保证</w:t>
      </w:r>
    </w:p>
    <w:p>
      <w:pPr>
        <w:pStyle w:val="2"/>
      </w:pPr>
    </w:p>
    <w:p/>
    <w:p>
      <w:pPr>
        <w:pStyle w:val="2"/>
      </w:pPr>
    </w:p>
    <w:p/>
    <w:p>
      <w:pPr>
        <w:pStyle w:val="2"/>
      </w:pPr>
    </w:p>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p>
    <w:p>
      <w:pPr>
        <w:adjustRightInd w:val="0"/>
        <w:spacing w:line="400" w:lineRule="exact"/>
        <w:ind w:firstLine="420" w:firstLineChars="175"/>
        <w:jc w:val="left"/>
        <w:rPr>
          <w:rFonts w:ascii="仿宋" w:hAnsi="仿宋" w:eastAsia="仿宋"/>
          <w:bCs/>
          <w:color w:val="000000" w:themeColor="text1"/>
          <w:sz w:val="24"/>
        </w:rPr>
      </w:pPr>
      <w:r>
        <w:rPr>
          <w:rFonts w:hint="eastAsia" w:ascii="仿宋" w:hAnsi="仿宋" w:eastAsia="仿宋"/>
          <w:bCs/>
          <w:color w:val="000000" w:themeColor="text1"/>
          <w:sz w:val="24"/>
        </w:rPr>
        <w:t>投标人名称：                   （盖章）</w:t>
      </w:r>
    </w:p>
    <w:p>
      <w:pPr>
        <w:adjustRightInd w:val="0"/>
        <w:spacing w:line="400" w:lineRule="exact"/>
        <w:ind w:firstLine="420" w:firstLineChars="175"/>
        <w:jc w:val="left"/>
        <w:rPr>
          <w:rFonts w:ascii="仿宋" w:hAnsi="仿宋" w:eastAsia="仿宋"/>
          <w:bCs/>
          <w:color w:val="000000" w:themeColor="text1"/>
          <w:sz w:val="24"/>
        </w:rPr>
      </w:pPr>
      <w:r>
        <w:rPr>
          <w:rFonts w:hint="eastAsia" w:ascii="仿宋" w:hAnsi="仿宋" w:eastAsia="仿宋"/>
          <w:color w:val="000000" w:themeColor="text1"/>
          <w:sz w:val="24"/>
        </w:rPr>
        <w:t>法定代表人或授权代表（签字）</w:t>
      </w:r>
      <w:r>
        <w:rPr>
          <w:rFonts w:hint="eastAsia" w:ascii="仿宋" w:hAnsi="仿宋" w:eastAsia="仿宋"/>
          <w:bCs/>
          <w:color w:val="000000" w:themeColor="text1"/>
          <w:sz w:val="24"/>
        </w:rPr>
        <w:t>：</w:t>
      </w:r>
    </w:p>
    <w:p>
      <w:pPr>
        <w:spacing w:line="400" w:lineRule="exact"/>
        <w:ind w:firstLine="480" w:firstLineChars="200"/>
        <w:outlineLvl w:val="1"/>
        <w:rPr>
          <w:rFonts w:ascii="仿宋" w:hAnsi="仿宋" w:eastAsia="仿宋"/>
          <w:b/>
          <w:color w:val="000000" w:themeColor="text1"/>
          <w:sz w:val="24"/>
        </w:rPr>
      </w:pPr>
      <w:r>
        <w:rPr>
          <w:rFonts w:hint="eastAsia" w:ascii="仿宋" w:hAnsi="仿宋" w:eastAsia="仿宋"/>
          <w:bCs/>
          <w:color w:val="000000" w:themeColor="text1"/>
          <w:sz w:val="24"/>
        </w:rPr>
        <w:t>投标日期：    年    月   日</w:t>
      </w:r>
    </w:p>
    <w:p>
      <w:pPr>
        <w:tabs>
          <w:tab w:val="left" w:pos="6300"/>
        </w:tabs>
        <w:snapToGrid w:val="0"/>
        <w:spacing w:line="500" w:lineRule="exact"/>
        <w:rPr>
          <w:rFonts w:ascii="仿宋" w:hAnsi="仿宋" w:eastAsia="仿宋" w:cs="Arial"/>
          <w:b/>
          <w:color w:val="000000" w:themeColor="text1"/>
          <w:sz w:val="32"/>
          <w:szCs w:val="28"/>
        </w:rPr>
      </w:pPr>
    </w:p>
    <w:p>
      <w:pPr>
        <w:tabs>
          <w:tab w:val="left" w:pos="6300"/>
        </w:tabs>
        <w:snapToGrid w:val="0"/>
        <w:spacing w:line="500" w:lineRule="exact"/>
        <w:rPr>
          <w:rFonts w:ascii="仿宋" w:hAnsi="仿宋" w:eastAsia="仿宋" w:cs="Arial"/>
          <w:b/>
          <w:color w:val="000000" w:themeColor="text1"/>
          <w:sz w:val="32"/>
          <w:szCs w:val="28"/>
        </w:rPr>
      </w:pPr>
      <w:r>
        <w:rPr>
          <w:rFonts w:hint="eastAsia" w:ascii="仿宋" w:hAnsi="仿宋" w:eastAsia="仿宋" w:cs="Arial"/>
          <w:b/>
          <w:color w:val="000000" w:themeColor="text1"/>
          <w:sz w:val="32"/>
          <w:szCs w:val="28"/>
          <w:lang w:val="en-US" w:eastAsia="zh-CN"/>
        </w:rPr>
        <w:t>八</w:t>
      </w:r>
      <w:r>
        <w:rPr>
          <w:rFonts w:hint="eastAsia" w:ascii="仿宋" w:hAnsi="仿宋" w:eastAsia="仿宋" w:cs="Arial"/>
          <w:b/>
          <w:color w:val="000000" w:themeColor="text1"/>
          <w:sz w:val="32"/>
          <w:szCs w:val="28"/>
        </w:rPr>
        <w:t>、法人营业执照（副本）或事业单位法人证书（副本）或个体工商户营业执照或有效的自然人身份证明或社会团体法人登记证书复印件</w:t>
      </w:r>
    </w:p>
    <w:p>
      <w:pPr>
        <w:spacing w:line="400" w:lineRule="exact"/>
        <w:rPr>
          <w:rFonts w:ascii="仿宋" w:hAnsi="仿宋" w:eastAsia="仿宋"/>
          <w:b/>
          <w:bCs/>
          <w:color w:val="000000" w:themeColor="text1"/>
          <w:sz w:val="24"/>
          <w:szCs w:val="22"/>
        </w:rPr>
      </w:pPr>
    </w:p>
    <w:p>
      <w:pPr>
        <w:spacing w:line="400" w:lineRule="exact"/>
        <w:rPr>
          <w:rFonts w:ascii="仿宋" w:hAnsi="仿宋" w:eastAsia="仿宋"/>
          <w:color w:val="000000" w:themeColor="text1"/>
          <w:sz w:val="24"/>
          <w:szCs w:val="22"/>
        </w:rPr>
      </w:pPr>
    </w:p>
    <w:p>
      <w:pPr>
        <w:spacing w:line="400" w:lineRule="exact"/>
        <w:rPr>
          <w:rFonts w:ascii="仿宋" w:hAnsi="仿宋" w:eastAsia="仿宋"/>
          <w:color w:val="000000" w:themeColor="text1"/>
          <w:sz w:val="24"/>
          <w:szCs w:val="22"/>
        </w:rPr>
      </w:pPr>
    </w:p>
    <w:p>
      <w:pPr>
        <w:spacing w:line="400" w:lineRule="exact"/>
        <w:rPr>
          <w:rFonts w:ascii="仿宋" w:hAnsi="仿宋" w:eastAsia="仿宋"/>
          <w:color w:val="000000" w:themeColor="text1"/>
          <w:sz w:val="24"/>
          <w:szCs w:val="22"/>
        </w:rPr>
      </w:pPr>
    </w:p>
    <w:p>
      <w:pPr>
        <w:spacing w:line="400" w:lineRule="exact"/>
        <w:rPr>
          <w:rFonts w:ascii="仿宋" w:hAnsi="仿宋" w:eastAsia="仿宋"/>
          <w:color w:val="000000" w:themeColor="text1"/>
          <w:sz w:val="24"/>
          <w:szCs w:val="22"/>
        </w:rPr>
      </w:pPr>
    </w:p>
    <w:p>
      <w:pPr>
        <w:spacing w:line="400" w:lineRule="exact"/>
        <w:rPr>
          <w:rFonts w:ascii="仿宋" w:hAnsi="仿宋" w:eastAsia="仿宋"/>
          <w:color w:val="000000" w:themeColor="text1"/>
          <w:sz w:val="24"/>
          <w:szCs w:val="22"/>
        </w:rPr>
      </w:pPr>
    </w:p>
    <w:p>
      <w:pPr>
        <w:spacing w:line="400" w:lineRule="exact"/>
        <w:rPr>
          <w:rFonts w:ascii="仿宋" w:hAnsi="仿宋" w:eastAsia="仿宋"/>
          <w:color w:val="000000" w:themeColor="text1"/>
          <w:sz w:val="24"/>
          <w:szCs w:val="22"/>
        </w:rPr>
      </w:pPr>
    </w:p>
    <w:p>
      <w:pPr>
        <w:spacing w:line="400" w:lineRule="exact"/>
        <w:rPr>
          <w:rFonts w:ascii="仿宋" w:hAnsi="仿宋" w:eastAsia="仿宋"/>
          <w:color w:val="000000" w:themeColor="text1"/>
          <w:sz w:val="24"/>
          <w:szCs w:val="22"/>
        </w:rPr>
      </w:pPr>
    </w:p>
    <w:p>
      <w:pPr>
        <w:spacing w:line="400" w:lineRule="exact"/>
        <w:rPr>
          <w:rFonts w:ascii="仿宋" w:hAnsi="仿宋" w:eastAsia="仿宋"/>
          <w:color w:val="000000" w:themeColor="text1"/>
          <w:sz w:val="24"/>
          <w:szCs w:val="22"/>
        </w:rPr>
      </w:pPr>
    </w:p>
    <w:p>
      <w:pPr>
        <w:spacing w:line="400" w:lineRule="exact"/>
        <w:rPr>
          <w:rFonts w:ascii="仿宋" w:hAnsi="仿宋" w:eastAsia="仿宋"/>
          <w:color w:val="000000" w:themeColor="text1"/>
          <w:sz w:val="24"/>
          <w:szCs w:val="22"/>
        </w:rPr>
      </w:pPr>
    </w:p>
    <w:p>
      <w:pPr>
        <w:spacing w:line="400" w:lineRule="exact"/>
        <w:rPr>
          <w:rFonts w:ascii="仿宋" w:hAnsi="仿宋" w:eastAsia="仿宋"/>
          <w:color w:val="000000" w:themeColor="text1"/>
          <w:sz w:val="24"/>
          <w:szCs w:val="22"/>
        </w:rPr>
      </w:pPr>
    </w:p>
    <w:p>
      <w:pPr>
        <w:spacing w:line="400" w:lineRule="exact"/>
        <w:rPr>
          <w:rFonts w:ascii="仿宋" w:hAnsi="仿宋" w:eastAsia="仿宋"/>
          <w:color w:val="000000" w:themeColor="text1"/>
          <w:sz w:val="24"/>
          <w:szCs w:val="22"/>
        </w:rPr>
      </w:pPr>
    </w:p>
    <w:p>
      <w:pPr>
        <w:spacing w:line="400" w:lineRule="exact"/>
        <w:rPr>
          <w:rFonts w:ascii="仿宋" w:hAnsi="仿宋" w:eastAsia="仿宋"/>
          <w:color w:val="000000" w:themeColor="text1"/>
          <w:sz w:val="24"/>
          <w:szCs w:val="22"/>
        </w:rPr>
      </w:pPr>
    </w:p>
    <w:p>
      <w:pPr>
        <w:spacing w:line="400" w:lineRule="exact"/>
        <w:rPr>
          <w:rFonts w:ascii="仿宋" w:hAnsi="仿宋" w:eastAsia="仿宋"/>
          <w:color w:val="000000" w:themeColor="text1"/>
          <w:sz w:val="24"/>
          <w:szCs w:val="22"/>
        </w:rPr>
      </w:pPr>
    </w:p>
    <w:p>
      <w:pPr>
        <w:spacing w:line="400" w:lineRule="exact"/>
        <w:rPr>
          <w:rFonts w:ascii="仿宋" w:hAnsi="仿宋" w:eastAsia="仿宋"/>
          <w:color w:val="000000" w:themeColor="text1"/>
          <w:sz w:val="24"/>
        </w:rPr>
      </w:pPr>
    </w:p>
    <w:p>
      <w:pPr>
        <w:spacing w:line="400" w:lineRule="exact"/>
        <w:rPr>
          <w:rFonts w:ascii="仿宋" w:hAnsi="仿宋" w:eastAsia="仿宋"/>
          <w:color w:val="000000" w:themeColor="text1"/>
          <w:sz w:val="24"/>
        </w:rPr>
      </w:pPr>
    </w:p>
    <w:p>
      <w:pPr>
        <w:spacing w:line="400" w:lineRule="exact"/>
        <w:rPr>
          <w:rFonts w:ascii="仿宋" w:hAnsi="仿宋" w:eastAsia="仿宋"/>
          <w:color w:val="000000" w:themeColor="text1"/>
          <w:sz w:val="24"/>
        </w:rPr>
      </w:pPr>
    </w:p>
    <w:p>
      <w:pPr>
        <w:adjustRightInd w:val="0"/>
        <w:spacing w:line="400" w:lineRule="exact"/>
        <w:ind w:firstLine="490" w:firstLineChars="175"/>
        <w:jc w:val="left"/>
        <w:rPr>
          <w:rFonts w:ascii="仿宋" w:hAnsi="仿宋" w:eastAsia="仿宋"/>
          <w:bCs/>
          <w:color w:val="000000" w:themeColor="text1"/>
          <w:sz w:val="28"/>
          <w:szCs w:val="28"/>
        </w:rPr>
      </w:pPr>
    </w:p>
    <w:p>
      <w:pPr>
        <w:adjustRightInd w:val="0"/>
        <w:spacing w:line="400" w:lineRule="exact"/>
        <w:ind w:firstLine="420" w:firstLineChars="175"/>
        <w:jc w:val="left"/>
        <w:rPr>
          <w:rFonts w:ascii="仿宋" w:hAnsi="仿宋" w:eastAsia="仿宋"/>
          <w:bCs/>
          <w:color w:val="000000" w:themeColor="text1"/>
          <w:sz w:val="24"/>
        </w:rPr>
      </w:pPr>
      <w:r>
        <w:rPr>
          <w:rFonts w:hint="eastAsia" w:ascii="仿宋" w:hAnsi="仿宋" w:eastAsia="仿宋"/>
          <w:bCs/>
          <w:color w:val="000000" w:themeColor="text1"/>
          <w:sz w:val="24"/>
        </w:rPr>
        <w:t>投标人名称：        （盖章）</w:t>
      </w:r>
    </w:p>
    <w:p>
      <w:pPr>
        <w:spacing w:line="400" w:lineRule="exact"/>
        <w:ind w:firstLine="360" w:firstLineChars="150"/>
        <w:rPr>
          <w:rFonts w:ascii="仿宋" w:hAnsi="仿宋" w:eastAsia="仿宋"/>
          <w:bCs/>
          <w:color w:val="000000" w:themeColor="text1"/>
          <w:sz w:val="24"/>
        </w:rPr>
      </w:pPr>
      <w:r>
        <w:rPr>
          <w:rFonts w:hint="eastAsia" w:ascii="仿宋" w:hAnsi="仿宋" w:eastAsia="仿宋"/>
          <w:color w:val="000000" w:themeColor="text1"/>
          <w:sz w:val="24"/>
        </w:rPr>
        <w:t>法定代表人或授权代表（签字）</w:t>
      </w:r>
      <w:r>
        <w:rPr>
          <w:rFonts w:hint="eastAsia" w:ascii="仿宋" w:hAnsi="仿宋" w:eastAsia="仿宋"/>
          <w:bCs/>
          <w:color w:val="000000" w:themeColor="text1"/>
          <w:sz w:val="24"/>
        </w:rPr>
        <w:t>：</w:t>
      </w:r>
    </w:p>
    <w:p>
      <w:pPr>
        <w:spacing w:line="400" w:lineRule="exact"/>
        <w:ind w:firstLine="360" w:firstLineChars="150"/>
        <w:rPr>
          <w:rFonts w:ascii="仿宋" w:hAnsi="仿宋" w:eastAsia="仿宋"/>
          <w:bCs/>
          <w:color w:val="000000" w:themeColor="text1"/>
          <w:sz w:val="24"/>
        </w:rPr>
      </w:pPr>
      <w:r>
        <w:rPr>
          <w:rFonts w:hint="eastAsia" w:ascii="仿宋" w:hAnsi="仿宋" w:eastAsia="仿宋"/>
          <w:bCs/>
          <w:color w:val="000000" w:themeColor="text1"/>
          <w:sz w:val="24"/>
        </w:rPr>
        <w:t>投标日期：</w:t>
      </w:r>
    </w:p>
    <w:p>
      <w:pPr>
        <w:adjustRightInd w:val="0"/>
        <w:spacing w:line="400" w:lineRule="exact"/>
        <w:ind w:firstLine="420" w:firstLineChars="175"/>
        <w:jc w:val="left"/>
        <w:rPr>
          <w:rFonts w:ascii="仿宋" w:hAnsi="仿宋" w:eastAsia="仿宋"/>
          <w:bCs/>
          <w:color w:val="000000" w:themeColor="text1"/>
          <w:sz w:val="24"/>
        </w:rPr>
      </w:pPr>
    </w:p>
    <w:p>
      <w:pPr>
        <w:spacing w:line="400" w:lineRule="exact"/>
        <w:ind w:firstLine="480" w:firstLineChars="200"/>
        <w:rPr>
          <w:rFonts w:ascii="仿宋" w:hAnsi="仿宋" w:eastAsia="仿宋"/>
          <w:bCs/>
          <w:color w:val="000000" w:themeColor="text1"/>
          <w:sz w:val="24"/>
        </w:rPr>
      </w:pPr>
    </w:p>
    <w:p>
      <w:pPr>
        <w:spacing w:line="400" w:lineRule="exact"/>
        <w:ind w:firstLine="480" w:firstLineChars="200"/>
        <w:rPr>
          <w:rFonts w:ascii="仿宋" w:hAnsi="仿宋" w:eastAsia="仿宋"/>
          <w:bCs/>
          <w:color w:val="000000" w:themeColor="text1"/>
          <w:sz w:val="24"/>
        </w:rPr>
      </w:pPr>
    </w:p>
    <w:p>
      <w:pPr>
        <w:spacing w:line="400" w:lineRule="exact"/>
        <w:ind w:firstLine="480" w:firstLineChars="200"/>
        <w:rPr>
          <w:rFonts w:ascii="仿宋" w:hAnsi="仿宋" w:eastAsia="仿宋"/>
          <w:bCs/>
          <w:color w:val="000000" w:themeColor="text1"/>
          <w:sz w:val="24"/>
        </w:rPr>
      </w:pPr>
    </w:p>
    <w:p>
      <w:pPr>
        <w:spacing w:line="400" w:lineRule="exact"/>
        <w:ind w:firstLine="480" w:firstLineChars="200"/>
        <w:rPr>
          <w:rFonts w:ascii="仿宋" w:hAnsi="仿宋" w:eastAsia="仿宋"/>
          <w:bCs/>
          <w:color w:val="000000" w:themeColor="text1"/>
          <w:sz w:val="24"/>
        </w:rPr>
      </w:pPr>
    </w:p>
    <w:p>
      <w:pPr>
        <w:tabs>
          <w:tab w:val="left" w:pos="6300"/>
        </w:tabs>
        <w:snapToGrid w:val="0"/>
        <w:spacing w:line="500" w:lineRule="exact"/>
        <w:ind w:firstLine="1821" w:firstLineChars="567"/>
        <w:rPr>
          <w:rFonts w:ascii="仿宋" w:hAnsi="仿宋" w:eastAsia="仿宋"/>
          <w:b/>
          <w:color w:val="000000" w:themeColor="text1"/>
          <w:sz w:val="32"/>
          <w:szCs w:val="28"/>
        </w:rPr>
      </w:pPr>
    </w:p>
    <w:p>
      <w:pPr>
        <w:tabs>
          <w:tab w:val="left" w:pos="6300"/>
        </w:tabs>
        <w:snapToGrid w:val="0"/>
        <w:spacing w:line="500" w:lineRule="exact"/>
        <w:ind w:firstLine="1821" w:firstLineChars="567"/>
        <w:rPr>
          <w:rFonts w:ascii="仿宋" w:hAnsi="仿宋" w:eastAsia="仿宋"/>
          <w:b/>
          <w:color w:val="000000" w:themeColor="text1"/>
          <w:sz w:val="32"/>
          <w:szCs w:val="28"/>
        </w:rPr>
      </w:pPr>
    </w:p>
    <w:p>
      <w:pPr>
        <w:pStyle w:val="2"/>
      </w:pPr>
    </w:p>
    <w:p>
      <w:pPr>
        <w:tabs>
          <w:tab w:val="left" w:pos="6300"/>
        </w:tabs>
        <w:snapToGrid w:val="0"/>
        <w:spacing w:line="500" w:lineRule="exact"/>
        <w:ind w:firstLine="1821" w:firstLineChars="567"/>
        <w:rPr>
          <w:rFonts w:ascii="仿宋" w:hAnsi="仿宋" w:eastAsia="仿宋"/>
          <w:b/>
          <w:color w:val="000000" w:themeColor="text1"/>
          <w:sz w:val="32"/>
          <w:szCs w:val="28"/>
        </w:rPr>
      </w:pPr>
    </w:p>
    <w:p>
      <w:pPr>
        <w:tabs>
          <w:tab w:val="left" w:pos="6300"/>
        </w:tabs>
        <w:snapToGrid w:val="0"/>
        <w:spacing w:line="500" w:lineRule="exact"/>
        <w:ind w:firstLine="1821" w:firstLineChars="567"/>
        <w:rPr>
          <w:rFonts w:ascii="仿宋" w:hAnsi="仿宋" w:eastAsia="仿宋"/>
          <w:b/>
          <w:color w:val="000000" w:themeColor="text1"/>
          <w:sz w:val="32"/>
          <w:szCs w:val="28"/>
        </w:rPr>
      </w:pPr>
      <w:r>
        <w:rPr>
          <w:rFonts w:hint="eastAsia" w:ascii="仿宋" w:hAnsi="仿宋" w:eastAsia="仿宋"/>
          <w:b/>
          <w:color w:val="000000" w:themeColor="text1"/>
          <w:sz w:val="32"/>
          <w:szCs w:val="28"/>
          <w:lang w:val="en-US" w:eastAsia="zh-CN"/>
        </w:rPr>
        <w:t>九</w:t>
      </w:r>
      <w:r>
        <w:rPr>
          <w:rFonts w:hint="eastAsia" w:ascii="仿宋" w:hAnsi="仿宋" w:eastAsia="仿宋"/>
          <w:b/>
          <w:color w:val="000000" w:themeColor="text1"/>
          <w:sz w:val="32"/>
          <w:szCs w:val="28"/>
        </w:rPr>
        <w:t>、法定代表人身份证明书（格式）</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招标项目名称：</w:t>
      </w:r>
      <w:r>
        <w:rPr>
          <w:rFonts w:hint="eastAsia" w:ascii="方正仿宋_GBK" w:hAnsi="仿宋" w:eastAsia="方正仿宋_GBK"/>
          <w:sz w:val="24"/>
          <w:u w:val="single"/>
        </w:rPr>
        <w:t xml:space="preserve">                                                </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u w:val="single"/>
        </w:rPr>
        <w:t xml:space="preserve">        </w:t>
      </w:r>
      <w:r>
        <w:rPr>
          <w:rFonts w:hint="eastAsia" w:ascii="方正仿宋_GBK" w:hAnsi="仿宋" w:eastAsia="方正仿宋_GBK"/>
          <w:sz w:val="24"/>
        </w:rPr>
        <w:t>（法定代表人姓名）在</w:t>
      </w:r>
      <w:r>
        <w:rPr>
          <w:rFonts w:hint="eastAsia" w:ascii="方正仿宋_GBK" w:hAnsi="仿宋" w:eastAsia="方正仿宋_GBK"/>
          <w:sz w:val="24"/>
          <w:u w:val="single"/>
        </w:rPr>
        <w:t xml:space="preserve">                       </w:t>
      </w:r>
      <w:r>
        <w:rPr>
          <w:rFonts w:hint="eastAsia" w:ascii="方正仿宋_GBK" w:hAnsi="仿宋" w:eastAsia="方正仿宋_GBK"/>
          <w:sz w:val="24"/>
        </w:rPr>
        <w:t>（投标人名称）任</w:t>
      </w:r>
      <w:r>
        <w:rPr>
          <w:rFonts w:hint="eastAsia" w:ascii="方正仿宋_GBK" w:hAnsi="仿宋" w:eastAsia="方正仿宋_GBK"/>
          <w:sz w:val="24"/>
          <w:u w:val="single"/>
        </w:rPr>
        <w:t xml:space="preserve">    </w:t>
      </w:r>
      <w:r>
        <w:rPr>
          <w:rFonts w:hint="eastAsia" w:ascii="方正仿宋_GBK" w:hAnsi="仿宋" w:eastAsia="方正仿宋_GBK"/>
          <w:sz w:val="24"/>
        </w:rPr>
        <w:t>（职务名称）职务，是（投标人名称）</w:t>
      </w:r>
      <w:r>
        <w:rPr>
          <w:rFonts w:hint="eastAsia" w:ascii="方正仿宋_GBK" w:hAnsi="仿宋" w:eastAsia="方正仿宋_GBK"/>
          <w:sz w:val="24"/>
          <w:u w:val="single"/>
        </w:rPr>
        <w:t xml:space="preserve">              </w:t>
      </w:r>
      <w:r>
        <w:rPr>
          <w:rFonts w:hint="eastAsia" w:ascii="方正仿宋_GBK" w:hAnsi="仿宋" w:eastAsia="方正仿宋_GBK"/>
          <w:sz w:val="24"/>
        </w:rPr>
        <w:t>的法定代表人。</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特此证明。</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 xml:space="preserve">                                             （投标人公章）</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 xml:space="preserve">                                             年   月   日</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 xml:space="preserve"> </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（附：法定代表人身份证正反面复印件）</w:t>
      </w:r>
    </w:p>
    <w:p>
      <w:pPr>
        <w:tabs>
          <w:tab w:val="left" w:pos="5361"/>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ab/>
      </w:r>
    </w:p>
    <w:p>
      <w:pPr>
        <w:spacing w:line="400" w:lineRule="exact"/>
        <w:rPr>
          <w:rFonts w:ascii="仿宋" w:hAnsi="仿宋" w:eastAsia="仿宋" w:cs="Arial"/>
          <w:b/>
          <w:bCs/>
          <w:color w:val="000000" w:themeColor="text1"/>
          <w:sz w:val="28"/>
        </w:rPr>
      </w:pPr>
    </w:p>
    <w:p>
      <w:pPr>
        <w:spacing w:line="400" w:lineRule="exact"/>
        <w:ind w:firstLine="480" w:firstLineChars="200"/>
        <w:rPr>
          <w:rFonts w:ascii="仿宋" w:hAnsi="仿宋" w:eastAsia="仿宋" w:cs="Arial"/>
          <w:bCs/>
          <w:color w:val="000000" w:themeColor="text1"/>
          <w:sz w:val="24"/>
        </w:rPr>
      </w:pPr>
      <w:r>
        <w:rPr>
          <w:rFonts w:hint="eastAsia" w:ascii="仿宋" w:hAnsi="仿宋" w:eastAsia="仿宋" w:cs="Arial"/>
          <w:bCs/>
          <w:color w:val="000000" w:themeColor="text1"/>
          <w:sz w:val="24"/>
        </w:rPr>
        <w:t xml:space="preserve">                                       </w:t>
      </w:r>
    </w:p>
    <w:p>
      <w:pPr>
        <w:spacing w:line="400" w:lineRule="exact"/>
        <w:jc w:val="center"/>
        <w:rPr>
          <w:rFonts w:ascii="仿宋" w:hAnsi="仿宋" w:eastAsia="仿宋" w:cs="Arial"/>
          <w:b/>
          <w:bCs/>
          <w:color w:val="000000" w:themeColor="text1"/>
          <w:sz w:val="28"/>
        </w:rPr>
      </w:pPr>
    </w:p>
    <w:p>
      <w:pPr>
        <w:spacing w:line="400" w:lineRule="exact"/>
        <w:jc w:val="center"/>
        <w:rPr>
          <w:rFonts w:ascii="仿宋" w:hAnsi="仿宋" w:eastAsia="仿宋" w:cs="Arial"/>
          <w:b/>
          <w:bCs/>
          <w:color w:val="000000" w:themeColor="text1"/>
          <w:sz w:val="28"/>
        </w:rPr>
      </w:pPr>
    </w:p>
    <w:p>
      <w:pPr>
        <w:spacing w:line="400" w:lineRule="exact"/>
        <w:jc w:val="center"/>
        <w:rPr>
          <w:rFonts w:ascii="仿宋" w:hAnsi="仿宋" w:eastAsia="仿宋" w:cs="Arial"/>
          <w:b/>
          <w:bCs/>
          <w:color w:val="000000" w:themeColor="text1"/>
          <w:sz w:val="28"/>
        </w:rPr>
      </w:pPr>
    </w:p>
    <w:p>
      <w:pPr>
        <w:adjustRightInd w:val="0"/>
        <w:spacing w:line="400" w:lineRule="exact"/>
        <w:ind w:firstLine="480" w:firstLineChars="200"/>
        <w:jc w:val="left"/>
        <w:rPr>
          <w:rFonts w:ascii="仿宋" w:hAnsi="仿宋" w:eastAsia="仿宋"/>
          <w:color w:val="000000" w:themeColor="text1"/>
          <w:sz w:val="24"/>
        </w:rPr>
      </w:pPr>
      <w:r>
        <w:rPr>
          <w:rFonts w:hint="eastAsia" w:ascii="仿宋" w:hAnsi="仿宋" w:eastAsia="仿宋"/>
          <w:color w:val="000000" w:themeColor="text1"/>
          <w:sz w:val="24"/>
        </w:rPr>
        <w:t>投标人名称：            （盖章）</w:t>
      </w:r>
    </w:p>
    <w:p>
      <w:pPr>
        <w:adjustRightInd w:val="0"/>
        <w:spacing w:line="400" w:lineRule="exact"/>
        <w:ind w:firstLine="480" w:firstLineChars="200"/>
        <w:jc w:val="left"/>
        <w:rPr>
          <w:rFonts w:ascii="仿宋" w:hAnsi="仿宋" w:eastAsia="仿宋"/>
          <w:bCs/>
          <w:color w:val="000000" w:themeColor="text1"/>
          <w:sz w:val="24"/>
        </w:rPr>
      </w:pPr>
      <w:r>
        <w:rPr>
          <w:rFonts w:hint="eastAsia" w:ascii="仿宋" w:hAnsi="仿宋" w:eastAsia="仿宋"/>
          <w:color w:val="000000" w:themeColor="text1"/>
          <w:sz w:val="24"/>
        </w:rPr>
        <w:t>法定代表人或授权代表（签字）</w:t>
      </w:r>
      <w:r>
        <w:rPr>
          <w:rFonts w:hint="eastAsia" w:ascii="仿宋" w:hAnsi="仿宋" w:eastAsia="仿宋"/>
          <w:bCs/>
          <w:color w:val="000000" w:themeColor="text1"/>
          <w:sz w:val="24"/>
        </w:rPr>
        <w:t>：</w:t>
      </w:r>
    </w:p>
    <w:p>
      <w:pPr>
        <w:spacing w:line="400" w:lineRule="exact"/>
        <w:ind w:firstLine="480" w:firstLineChars="200"/>
        <w:rPr>
          <w:rFonts w:ascii="仿宋" w:hAnsi="仿宋" w:eastAsia="仿宋"/>
          <w:b/>
          <w:color w:val="000000" w:themeColor="text1"/>
          <w:sz w:val="24"/>
        </w:rPr>
      </w:pPr>
      <w:r>
        <w:rPr>
          <w:rFonts w:hint="eastAsia" w:ascii="仿宋" w:hAnsi="仿宋" w:eastAsia="仿宋"/>
          <w:bCs/>
          <w:color w:val="000000" w:themeColor="text1"/>
          <w:sz w:val="24"/>
        </w:rPr>
        <w:t>投标日期：</w:t>
      </w:r>
    </w:p>
    <w:p>
      <w:pPr>
        <w:spacing w:line="400" w:lineRule="exact"/>
        <w:rPr>
          <w:rFonts w:ascii="仿宋" w:hAnsi="仿宋" w:eastAsia="仿宋"/>
          <w:color w:val="000000" w:themeColor="text1"/>
        </w:rPr>
      </w:pPr>
    </w:p>
    <w:p>
      <w:pPr>
        <w:tabs>
          <w:tab w:val="left" w:pos="6300"/>
        </w:tabs>
        <w:snapToGrid w:val="0"/>
        <w:spacing w:line="500" w:lineRule="exact"/>
        <w:ind w:firstLine="570"/>
        <w:rPr>
          <w:rFonts w:ascii="仿宋" w:hAnsi="仿宋" w:eastAsia="仿宋"/>
          <w:b/>
          <w:color w:val="000000" w:themeColor="text1"/>
          <w:sz w:val="32"/>
          <w:szCs w:val="28"/>
        </w:rPr>
      </w:pPr>
      <w:r>
        <w:rPr>
          <w:rFonts w:hint="eastAsia" w:ascii="方正仿宋_GBK" w:hAnsi="仿宋" w:eastAsia="方正仿宋_GBK"/>
        </w:rPr>
        <w:t xml:space="preserve"> </w:t>
      </w:r>
      <w:r>
        <w:rPr>
          <w:rFonts w:hint="eastAsia" w:ascii="仿宋" w:hAnsi="仿宋" w:eastAsia="仿宋"/>
          <w:b/>
          <w:color w:val="000000" w:themeColor="text1"/>
          <w:sz w:val="32"/>
          <w:szCs w:val="28"/>
        </w:rPr>
        <w:t>十、法定代表人授权委托书（格式）</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 xml:space="preserve">    </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szCs w:val="28"/>
        </w:rPr>
        <w:t>招标项目名称</w:t>
      </w:r>
      <w:r>
        <w:rPr>
          <w:rFonts w:hint="eastAsia" w:ascii="方正仿宋_GBK" w:hAnsi="仿宋" w:eastAsia="方正仿宋_GBK"/>
          <w:sz w:val="24"/>
        </w:rPr>
        <w:t>：</w:t>
      </w:r>
      <w:r>
        <w:rPr>
          <w:rFonts w:hint="eastAsia" w:ascii="方正仿宋_GBK" w:hAnsi="仿宋" w:eastAsia="方正仿宋_GBK"/>
          <w:sz w:val="24"/>
          <w:u w:val="single"/>
        </w:rPr>
        <w:t xml:space="preserve">                                                </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u w:val="single"/>
        </w:rPr>
        <w:t xml:space="preserve">            </w:t>
      </w:r>
      <w:r>
        <w:rPr>
          <w:rFonts w:hint="eastAsia" w:ascii="方正仿宋_GBK" w:hAnsi="仿宋" w:eastAsia="方正仿宋_GBK"/>
          <w:sz w:val="24"/>
        </w:rPr>
        <w:t>（投标人法定代表人名称）是</w:t>
      </w:r>
      <w:r>
        <w:rPr>
          <w:rFonts w:hint="eastAsia" w:ascii="方正仿宋_GBK" w:hAnsi="仿宋" w:eastAsia="方正仿宋_GBK"/>
          <w:sz w:val="24"/>
          <w:u w:val="single"/>
        </w:rPr>
        <w:t xml:space="preserve">                    </w:t>
      </w:r>
      <w:r>
        <w:rPr>
          <w:rFonts w:hint="eastAsia" w:ascii="方正仿宋_GBK" w:hAnsi="仿宋" w:eastAsia="方正仿宋_GBK"/>
          <w:sz w:val="24"/>
        </w:rPr>
        <w:t>（投标人名称）的法定代表人，特授权</w:t>
      </w:r>
      <w:r>
        <w:rPr>
          <w:rFonts w:hint="eastAsia" w:ascii="方正仿宋_GBK" w:hAnsi="仿宋" w:eastAsia="方正仿宋_GBK"/>
          <w:sz w:val="24"/>
          <w:u w:val="single"/>
        </w:rPr>
        <w:t xml:space="preserve">          </w:t>
      </w:r>
      <w:r>
        <w:rPr>
          <w:rFonts w:hint="eastAsia" w:ascii="方正仿宋_GBK" w:hAnsi="仿宋" w:eastAsia="方正仿宋_GBK"/>
          <w:sz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我单位对被授权人的签署负全部责任。</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被授权人：                                 投标人法定代表人：</w:t>
      </w:r>
    </w:p>
    <w:p>
      <w:pPr>
        <w:tabs>
          <w:tab w:val="left" w:pos="6300"/>
        </w:tabs>
        <w:snapToGrid w:val="0"/>
        <w:spacing w:line="500" w:lineRule="exact"/>
        <w:ind w:firstLine="570"/>
        <w:rPr>
          <w:rFonts w:ascii="方正仿宋_GBK" w:hAnsi="仿宋" w:eastAsia="方正仿宋_GBK"/>
          <w:sz w:val="24"/>
          <w:szCs w:val="28"/>
        </w:rPr>
      </w:pPr>
      <w:r>
        <w:rPr>
          <w:rFonts w:hint="eastAsia" w:ascii="方正仿宋_GBK" w:hAnsi="仿宋" w:eastAsia="方正仿宋_GBK"/>
          <w:sz w:val="24"/>
          <w:szCs w:val="28"/>
        </w:rPr>
        <w:t>（签署或盖章）                                （签署或盖章）</w:t>
      </w:r>
    </w:p>
    <w:p>
      <w:pPr>
        <w:tabs>
          <w:tab w:val="left" w:pos="6300"/>
        </w:tabs>
        <w:snapToGrid w:val="0"/>
        <w:spacing w:line="500" w:lineRule="exact"/>
        <w:ind w:firstLine="570"/>
        <w:rPr>
          <w:rFonts w:ascii="方正仿宋_GBK" w:hAnsi="仿宋" w:eastAsia="方正仿宋_GBK"/>
          <w:sz w:val="24"/>
          <w:szCs w:val="28"/>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（附：被授权人身份证正反面复印件）</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 xml:space="preserve">                                          </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right="480" w:firstLine="570"/>
        <w:jc w:val="right"/>
        <w:rPr>
          <w:rFonts w:ascii="方正仿宋_GBK" w:hAnsi="仿宋" w:eastAsia="方正仿宋_GBK"/>
          <w:sz w:val="24"/>
        </w:rPr>
      </w:pPr>
      <w:r>
        <w:rPr>
          <w:rFonts w:hint="eastAsia" w:ascii="方正仿宋_GBK" w:hAnsi="仿宋" w:eastAsia="方正仿宋_GBK"/>
          <w:sz w:val="24"/>
        </w:rPr>
        <w:t>（投标人公章）</w:t>
      </w:r>
    </w:p>
    <w:p>
      <w:pPr>
        <w:tabs>
          <w:tab w:val="left" w:pos="6300"/>
        </w:tabs>
        <w:snapToGrid w:val="0"/>
        <w:spacing w:line="500" w:lineRule="exact"/>
        <w:ind w:right="480" w:firstLine="570"/>
        <w:jc w:val="right"/>
        <w:rPr>
          <w:rFonts w:ascii="方正仿宋_GBK" w:hAnsi="仿宋" w:eastAsia="方正仿宋_GBK"/>
          <w:sz w:val="24"/>
        </w:rPr>
      </w:pPr>
      <w:r>
        <w:rPr>
          <w:rFonts w:hint="eastAsia" w:ascii="方正仿宋_GBK" w:hAnsi="仿宋" w:eastAsia="方正仿宋_GBK"/>
          <w:sz w:val="24"/>
        </w:rPr>
        <w:t>年   月   日</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注：.若为法定代表人办理并签署投标文件的，不提供此文件。</w:t>
      </w:r>
    </w:p>
    <w:p>
      <w:pPr>
        <w:adjustRightInd w:val="0"/>
        <w:spacing w:line="400" w:lineRule="exact"/>
        <w:ind w:firstLine="900" w:firstLineChars="375"/>
        <w:jc w:val="left"/>
        <w:rPr>
          <w:rFonts w:ascii="仿宋" w:hAnsi="仿宋" w:eastAsia="仿宋"/>
          <w:bCs/>
          <w:color w:val="000000" w:themeColor="text1"/>
          <w:sz w:val="24"/>
        </w:rPr>
      </w:pPr>
    </w:p>
    <w:p>
      <w:pPr>
        <w:spacing w:line="400" w:lineRule="exact"/>
        <w:ind w:firstLine="480" w:firstLineChars="200"/>
        <w:rPr>
          <w:rFonts w:ascii="仿宋" w:hAnsi="仿宋" w:eastAsia="仿宋"/>
          <w:color w:val="000000" w:themeColor="text1"/>
          <w:sz w:val="24"/>
        </w:rPr>
      </w:pPr>
    </w:p>
    <w:p>
      <w:pPr>
        <w:spacing w:line="400" w:lineRule="exact"/>
        <w:ind w:firstLine="480" w:firstLineChars="200"/>
        <w:rPr>
          <w:rFonts w:ascii="仿宋" w:hAnsi="仿宋" w:eastAsia="仿宋"/>
          <w:color w:val="000000" w:themeColor="text1"/>
          <w:sz w:val="24"/>
        </w:rPr>
      </w:pPr>
    </w:p>
    <w:p>
      <w:pPr>
        <w:pStyle w:val="3"/>
        <w:spacing w:line="400" w:lineRule="exact"/>
        <w:ind w:firstLine="964" w:firstLineChars="300"/>
        <w:rPr>
          <w:rFonts w:ascii="仿宋" w:hAnsi="仿宋" w:eastAsia="仿宋"/>
          <w:bCs w:val="0"/>
          <w:color w:val="000000" w:themeColor="text1"/>
          <w:szCs w:val="28"/>
        </w:rPr>
      </w:pPr>
      <w:bookmarkStart w:id="161" w:name="_Toc217446092"/>
      <w:r>
        <w:rPr>
          <w:rFonts w:hint="eastAsia" w:ascii="仿宋" w:hAnsi="仿宋" w:eastAsia="仿宋"/>
          <w:bCs w:val="0"/>
          <w:color w:val="000000" w:themeColor="text1"/>
          <w:szCs w:val="28"/>
        </w:rPr>
        <w:t>十</w:t>
      </w:r>
      <w:r>
        <w:rPr>
          <w:rFonts w:hint="eastAsia" w:ascii="仿宋" w:hAnsi="仿宋" w:eastAsia="仿宋"/>
          <w:bCs w:val="0"/>
          <w:color w:val="000000" w:themeColor="text1"/>
          <w:szCs w:val="28"/>
          <w:lang w:val="en-US" w:eastAsia="zh-CN"/>
        </w:rPr>
        <w:t>一</w:t>
      </w:r>
      <w:r>
        <w:rPr>
          <w:rFonts w:hint="eastAsia" w:ascii="仿宋" w:hAnsi="仿宋" w:eastAsia="仿宋"/>
          <w:bCs w:val="0"/>
          <w:color w:val="000000" w:themeColor="text1"/>
          <w:szCs w:val="28"/>
        </w:rPr>
        <w:t>、财务状况或银行资信状况良好｛注：①可提供2020或2021年度财务报表复印件，②，也可提供截至投标文件递交截止日一年内银行出具的资信证明（原件），③供应商注册时间截至投标文件递交截止日不足一年的，也可提供在工商备案的公司章程（复印件）。｝</w:t>
      </w:r>
    </w:p>
    <w:p>
      <w:pPr>
        <w:pStyle w:val="2"/>
        <w:spacing w:line="240" w:lineRule="atLeast"/>
        <w:jc w:val="center"/>
        <w:rPr>
          <w:rFonts w:ascii="仿宋" w:hAnsi="仿宋" w:eastAsia="仿宋"/>
          <w:bCs w:val="0"/>
          <w:color w:val="000000" w:themeColor="text1"/>
          <w:sz w:val="36"/>
        </w:rPr>
      </w:pPr>
    </w:p>
    <w:p>
      <w:pPr>
        <w:pStyle w:val="2"/>
        <w:spacing w:line="240" w:lineRule="atLeast"/>
        <w:jc w:val="center"/>
        <w:rPr>
          <w:rFonts w:ascii="仿宋" w:hAnsi="仿宋" w:eastAsia="仿宋"/>
          <w:bCs w:val="0"/>
          <w:color w:val="000000" w:themeColor="text1"/>
          <w:sz w:val="36"/>
        </w:rPr>
      </w:pPr>
    </w:p>
    <w:p>
      <w:pPr>
        <w:pStyle w:val="2"/>
        <w:spacing w:line="240" w:lineRule="atLeast"/>
        <w:jc w:val="center"/>
        <w:rPr>
          <w:rFonts w:ascii="仿宋" w:hAnsi="仿宋" w:eastAsia="仿宋"/>
          <w:bCs w:val="0"/>
          <w:color w:val="000000" w:themeColor="text1"/>
          <w:sz w:val="36"/>
        </w:rPr>
      </w:pPr>
    </w:p>
    <w:p>
      <w:pPr>
        <w:pStyle w:val="2"/>
        <w:spacing w:line="240" w:lineRule="atLeast"/>
        <w:jc w:val="center"/>
        <w:rPr>
          <w:rFonts w:ascii="仿宋" w:hAnsi="仿宋" w:eastAsia="仿宋"/>
          <w:bCs w:val="0"/>
          <w:color w:val="000000" w:themeColor="text1"/>
          <w:sz w:val="36"/>
        </w:rPr>
      </w:pPr>
    </w:p>
    <w:p>
      <w:pPr>
        <w:pStyle w:val="2"/>
        <w:spacing w:line="240" w:lineRule="atLeast"/>
        <w:jc w:val="center"/>
        <w:rPr>
          <w:rFonts w:ascii="仿宋" w:hAnsi="仿宋" w:eastAsia="仿宋"/>
          <w:bCs w:val="0"/>
          <w:color w:val="000000" w:themeColor="text1"/>
          <w:sz w:val="36"/>
        </w:rPr>
      </w:pPr>
    </w:p>
    <w:p>
      <w:pPr>
        <w:pStyle w:val="2"/>
        <w:spacing w:line="240" w:lineRule="atLeast"/>
        <w:jc w:val="center"/>
        <w:rPr>
          <w:rFonts w:ascii="仿宋" w:hAnsi="仿宋" w:eastAsia="仿宋"/>
          <w:bCs w:val="0"/>
          <w:color w:val="000000" w:themeColor="text1"/>
          <w:sz w:val="36"/>
        </w:rPr>
      </w:pPr>
    </w:p>
    <w:p>
      <w:pPr>
        <w:pStyle w:val="2"/>
        <w:spacing w:line="240" w:lineRule="atLeast"/>
        <w:jc w:val="center"/>
        <w:rPr>
          <w:rFonts w:ascii="仿宋" w:hAnsi="仿宋" w:eastAsia="仿宋"/>
          <w:bCs w:val="0"/>
          <w:color w:val="000000" w:themeColor="text1"/>
          <w:sz w:val="36"/>
        </w:rPr>
      </w:pPr>
    </w:p>
    <w:p>
      <w:pPr>
        <w:pStyle w:val="2"/>
        <w:spacing w:line="240" w:lineRule="atLeast"/>
        <w:jc w:val="center"/>
        <w:rPr>
          <w:rFonts w:ascii="仿宋" w:hAnsi="仿宋" w:eastAsia="仿宋"/>
          <w:bCs w:val="0"/>
          <w:color w:val="000000" w:themeColor="text1"/>
          <w:sz w:val="36"/>
        </w:rPr>
      </w:pPr>
    </w:p>
    <w:p>
      <w:pPr>
        <w:pStyle w:val="2"/>
        <w:spacing w:line="240" w:lineRule="atLeast"/>
        <w:jc w:val="center"/>
        <w:rPr>
          <w:rFonts w:ascii="仿宋" w:hAnsi="仿宋" w:eastAsia="仿宋"/>
          <w:bCs w:val="0"/>
          <w:color w:val="000000" w:themeColor="text1"/>
          <w:sz w:val="36"/>
        </w:rPr>
      </w:pPr>
    </w:p>
    <w:p>
      <w:pPr>
        <w:pStyle w:val="2"/>
        <w:spacing w:line="240" w:lineRule="atLeast"/>
        <w:jc w:val="center"/>
        <w:rPr>
          <w:rFonts w:ascii="仿宋" w:hAnsi="仿宋" w:eastAsia="仿宋"/>
          <w:bCs w:val="0"/>
          <w:color w:val="000000" w:themeColor="text1"/>
          <w:sz w:val="36"/>
        </w:rPr>
      </w:pPr>
    </w:p>
    <w:p>
      <w:pPr>
        <w:pStyle w:val="2"/>
        <w:spacing w:line="240" w:lineRule="atLeast"/>
        <w:jc w:val="center"/>
        <w:rPr>
          <w:rFonts w:ascii="仿宋" w:hAnsi="仿宋" w:eastAsia="仿宋"/>
          <w:bCs w:val="0"/>
          <w:color w:val="000000" w:themeColor="text1"/>
          <w:sz w:val="36"/>
        </w:rPr>
      </w:pPr>
    </w:p>
    <w:p>
      <w:pPr>
        <w:pStyle w:val="2"/>
        <w:spacing w:line="240" w:lineRule="atLeast"/>
        <w:jc w:val="center"/>
        <w:rPr>
          <w:rFonts w:ascii="仿宋" w:hAnsi="仿宋" w:eastAsia="仿宋"/>
          <w:bCs w:val="0"/>
          <w:color w:val="000000" w:themeColor="text1"/>
          <w:sz w:val="36"/>
        </w:rPr>
      </w:pPr>
    </w:p>
    <w:p>
      <w:pPr>
        <w:pStyle w:val="3"/>
        <w:spacing w:line="400" w:lineRule="exact"/>
        <w:ind w:firstLine="2891" w:firstLineChars="900"/>
        <w:rPr>
          <w:rFonts w:ascii="仿宋" w:hAnsi="仿宋" w:eastAsia="仿宋"/>
          <w:bCs w:val="0"/>
          <w:color w:val="000000" w:themeColor="text1"/>
          <w:szCs w:val="28"/>
        </w:rPr>
      </w:pPr>
      <w:r>
        <w:rPr>
          <w:rFonts w:hint="eastAsia" w:ascii="仿宋" w:hAnsi="仿宋" w:eastAsia="仿宋"/>
          <w:bCs w:val="0"/>
          <w:color w:val="000000" w:themeColor="text1"/>
          <w:szCs w:val="28"/>
        </w:rPr>
        <w:t>十</w:t>
      </w:r>
      <w:r>
        <w:rPr>
          <w:rFonts w:hint="eastAsia" w:ascii="仿宋" w:hAnsi="仿宋" w:eastAsia="仿宋"/>
          <w:bCs w:val="0"/>
          <w:color w:val="000000" w:themeColor="text1"/>
          <w:szCs w:val="28"/>
          <w:lang w:val="en-US" w:eastAsia="zh-CN"/>
        </w:rPr>
        <w:t>二</w:t>
      </w:r>
      <w:r>
        <w:rPr>
          <w:rFonts w:hint="eastAsia" w:ascii="仿宋" w:hAnsi="仿宋" w:eastAsia="仿宋"/>
          <w:bCs w:val="0"/>
          <w:color w:val="000000" w:themeColor="text1"/>
          <w:szCs w:val="28"/>
        </w:rPr>
        <w:t>、书面声明</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szCs w:val="28"/>
        </w:rPr>
        <w:t>招标项目名称</w:t>
      </w:r>
      <w:r>
        <w:rPr>
          <w:rFonts w:hint="eastAsia" w:ascii="方正仿宋_GBK" w:hAnsi="仿宋" w:eastAsia="方正仿宋_GBK"/>
          <w:sz w:val="24"/>
        </w:rPr>
        <w:t>：</w:t>
      </w:r>
      <w:r>
        <w:rPr>
          <w:rFonts w:hint="eastAsia" w:ascii="方正仿宋_GBK" w:hAnsi="仿宋" w:eastAsia="方正仿宋_GBK"/>
          <w:sz w:val="24"/>
          <w:u w:val="single"/>
        </w:rPr>
        <w:t xml:space="preserve">                                                </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960" w:firstLineChars="400"/>
        <w:rPr>
          <w:rFonts w:ascii="方正仿宋_GBK" w:hAnsi="仿宋" w:eastAsia="方正仿宋_GBK"/>
          <w:sz w:val="24"/>
        </w:rPr>
      </w:pPr>
      <w:r>
        <w:rPr>
          <w:rFonts w:hint="eastAsia" w:ascii="方正仿宋_GBK" w:hAnsi="仿宋" w:eastAsia="方正仿宋_GBK"/>
          <w:sz w:val="24"/>
          <w:u w:val="single"/>
        </w:rPr>
        <w:t xml:space="preserve">                      </w:t>
      </w:r>
      <w:r>
        <w:rPr>
          <w:rFonts w:hint="eastAsia" w:ascii="方正仿宋_GBK" w:hAnsi="仿宋" w:eastAsia="方正仿宋_GBK"/>
          <w:sz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中华人民共和国政府采购法》规定的投标人资格条件。我方对以上声明负全部法律责任。</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特此声明。</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right="424" w:firstLine="570"/>
        <w:jc w:val="right"/>
        <w:rPr>
          <w:rFonts w:ascii="方正仿宋_GBK" w:hAnsi="仿宋" w:eastAsia="方正仿宋_GBK"/>
          <w:sz w:val="24"/>
        </w:rPr>
      </w:pPr>
      <w:r>
        <w:rPr>
          <w:rFonts w:hint="eastAsia" w:ascii="方正仿宋_GBK" w:hAnsi="仿宋" w:eastAsia="方正仿宋_GBK"/>
          <w:sz w:val="24"/>
        </w:rPr>
        <w:t>（投标人公章或自然人签署）</w:t>
      </w:r>
    </w:p>
    <w:p>
      <w:pPr>
        <w:tabs>
          <w:tab w:val="left" w:pos="6300"/>
        </w:tabs>
        <w:snapToGrid w:val="0"/>
        <w:spacing w:line="500" w:lineRule="exact"/>
        <w:ind w:right="480" w:firstLine="570"/>
        <w:jc w:val="right"/>
        <w:rPr>
          <w:rFonts w:ascii="方正仿宋_GBK" w:hAnsi="仿宋" w:eastAsia="方正仿宋_GBK"/>
          <w:sz w:val="24"/>
        </w:rPr>
      </w:pPr>
      <w:r>
        <w:rPr>
          <w:rFonts w:hint="eastAsia" w:ascii="方正仿宋_GBK" w:hAnsi="仿宋" w:eastAsia="方正仿宋_GBK"/>
          <w:sz w:val="24"/>
        </w:rPr>
        <w:t>年   月   日</w:t>
      </w:r>
    </w:p>
    <w:p>
      <w:pPr>
        <w:spacing w:line="400" w:lineRule="exact"/>
        <w:ind w:firstLine="480" w:firstLineChars="200"/>
        <w:rPr>
          <w:rFonts w:ascii="仿宋" w:hAnsi="仿宋" w:eastAsia="仿宋"/>
          <w:color w:val="000000" w:themeColor="text1"/>
          <w:sz w:val="24"/>
        </w:rPr>
      </w:pPr>
    </w:p>
    <w:p>
      <w:pPr>
        <w:pStyle w:val="2"/>
        <w:spacing w:line="240" w:lineRule="atLeast"/>
        <w:jc w:val="center"/>
        <w:rPr>
          <w:rFonts w:ascii="仿宋" w:hAnsi="仿宋" w:eastAsia="仿宋"/>
          <w:bCs w:val="0"/>
          <w:color w:val="000000" w:themeColor="text1"/>
          <w:sz w:val="36"/>
        </w:rPr>
      </w:pPr>
    </w:p>
    <w:p>
      <w:pPr>
        <w:pStyle w:val="2"/>
        <w:spacing w:line="240" w:lineRule="atLeast"/>
        <w:jc w:val="center"/>
        <w:rPr>
          <w:rFonts w:ascii="仿宋" w:hAnsi="仿宋" w:eastAsia="仿宋"/>
          <w:bCs w:val="0"/>
          <w:color w:val="000000" w:themeColor="text1"/>
          <w:sz w:val="36"/>
        </w:rPr>
      </w:pPr>
    </w:p>
    <w:p>
      <w:pPr>
        <w:pStyle w:val="2"/>
        <w:spacing w:line="240" w:lineRule="atLeast"/>
        <w:jc w:val="center"/>
        <w:rPr>
          <w:rFonts w:ascii="仿宋" w:hAnsi="仿宋" w:eastAsia="仿宋"/>
          <w:bCs w:val="0"/>
          <w:color w:val="000000" w:themeColor="text1"/>
          <w:sz w:val="36"/>
        </w:rPr>
      </w:pPr>
    </w:p>
    <w:bookmarkEnd w:id="161"/>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br w:type="page"/>
      </w:r>
    </w:p>
    <w:p>
      <w:pPr>
        <w:pStyle w:val="2"/>
        <w:spacing w:line="360" w:lineRule="auto"/>
        <w:jc w:val="center"/>
        <w:rPr>
          <w:rFonts w:ascii="仿宋" w:hAnsi="仿宋" w:eastAsia="仿宋"/>
          <w:bCs w:val="0"/>
          <w:color w:val="000000" w:themeColor="text1"/>
          <w:sz w:val="36"/>
        </w:rPr>
      </w:pPr>
      <w:bookmarkStart w:id="162" w:name="_Toc217446093"/>
      <w:bookmarkStart w:id="163" w:name="_Toc19430"/>
      <w:r>
        <w:rPr>
          <w:rFonts w:hint="eastAsia" w:ascii="仿宋" w:hAnsi="仿宋" w:eastAsia="仿宋"/>
          <w:bCs w:val="0"/>
          <w:color w:val="000000" w:themeColor="text1"/>
          <w:sz w:val="36"/>
        </w:rPr>
        <w:t>第四章 招标项目及要求</w:t>
      </w:r>
      <w:bookmarkEnd w:id="162"/>
      <w:bookmarkEnd w:id="163"/>
    </w:p>
    <w:bookmarkEnd w:id="157"/>
    <w:p>
      <w:pPr>
        <w:pStyle w:val="3"/>
        <w:spacing w:line="400" w:lineRule="exact"/>
        <w:ind w:firstLine="236" w:firstLineChars="98"/>
        <w:rPr>
          <w:color w:val="000000" w:themeColor="text1"/>
        </w:rPr>
      </w:pPr>
      <w:bookmarkStart w:id="164" w:name="_Toc217446096"/>
      <w:r>
        <w:rPr>
          <w:rFonts w:hint="eastAsia" w:ascii="宋体" w:hAnsi="宋体"/>
          <w:color w:val="000000" w:themeColor="text1"/>
          <w:sz w:val="24"/>
          <w:szCs w:val="24"/>
        </w:rPr>
        <w:t>前提：本章中标注“</w:t>
      </w:r>
      <w:r>
        <w:rPr>
          <w:rFonts w:hint="eastAsia" w:ascii="宋体" w:hAnsi="宋体" w:eastAsia="宋体"/>
          <w:color w:val="000000" w:themeColor="text1"/>
          <w:sz w:val="24"/>
        </w:rPr>
        <w:t>★</w:t>
      </w:r>
      <w:r>
        <w:rPr>
          <w:rFonts w:hint="eastAsia" w:ascii="宋体" w:hAnsi="宋体"/>
          <w:color w:val="000000" w:themeColor="text1"/>
          <w:sz w:val="24"/>
          <w:szCs w:val="24"/>
        </w:rPr>
        <w:t>”的条款为本项目的实质性条款，投标人不满足的其投标被否决。</w:t>
      </w:r>
    </w:p>
    <w:p>
      <w:pPr>
        <w:numPr>
          <w:ilvl w:val="0"/>
          <w:numId w:val="5"/>
        </w:numPr>
        <w:ind w:firstLine="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产品名称、数量</w:t>
      </w:r>
    </w:p>
    <w:tbl>
      <w:tblPr>
        <w:tblStyle w:val="31"/>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3"/>
        <w:gridCol w:w="1134"/>
        <w:gridCol w:w="326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项目名称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数量</w:t>
            </w:r>
          </w:p>
        </w:tc>
        <w:tc>
          <w:tcPr>
            <w:tcW w:w="3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交货地点</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b/>
                <w:color w:val="000000" w:themeColor="text1"/>
                <w:sz w:val="24"/>
                <w:szCs w:val="28"/>
                <w:lang w:val="en-US" w:eastAsia="zh-CN"/>
              </w:rPr>
              <w:t>自动驾驶</w:t>
            </w:r>
            <w:r>
              <w:rPr>
                <w:rFonts w:ascii="仿宋" w:hAnsi="仿宋" w:eastAsia="仿宋"/>
                <w:b/>
                <w:color w:val="000000" w:themeColor="text1"/>
                <w:sz w:val="24"/>
                <w:szCs w:val="28"/>
              </w:rPr>
              <w:t>技术服务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w:t>
            </w:r>
          </w:p>
        </w:tc>
        <w:tc>
          <w:tcPr>
            <w:tcW w:w="326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35" w:leftChars="-69" w:firstLine="165" w:firstLineChars="69"/>
              <w:jc w:val="center"/>
              <w:rPr>
                <w:rFonts w:ascii="仿宋" w:hAnsi="仿宋" w:eastAsia="仿宋" w:cs="仿宋"/>
                <w:sz w:val="24"/>
                <w:szCs w:val="24"/>
              </w:rPr>
            </w:pPr>
            <w:r>
              <w:rPr>
                <w:rFonts w:hint="eastAsia" w:ascii="仿宋" w:hAnsi="仿宋" w:eastAsia="仿宋" w:cs="仿宋"/>
                <w:sz w:val="24"/>
                <w:szCs w:val="24"/>
              </w:rPr>
              <w:t>重庆交通职业学院</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40日历天</w:t>
            </w:r>
          </w:p>
        </w:tc>
      </w:tr>
    </w:tbl>
    <w:p>
      <w:pPr>
        <w:numPr>
          <w:ilvl w:val="0"/>
          <w:numId w:val="0"/>
        </w:numPr>
        <w:ind w:left="-420" w:leftChars="0"/>
        <w:rPr>
          <w:rFonts w:ascii="仿宋" w:hAnsi="仿宋" w:eastAsia="仿宋" w:cs="仿宋"/>
          <w:b/>
          <w:color w:val="000000" w:themeColor="text1"/>
          <w:sz w:val="24"/>
          <w:szCs w:val="24"/>
        </w:rPr>
      </w:pPr>
      <w:r>
        <w:rPr>
          <w:rFonts w:hint="eastAsia" w:ascii="仿宋" w:hAnsi="仿宋" w:eastAsia="仿宋" w:cs="仿宋"/>
          <w:color w:val="000000" w:themeColor="text1"/>
          <w:sz w:val="24"/>
          <w:szCs w:val="24"/>
          <w:lang w:val="en-US" w:eastAsia="zh-CN"/>
        </w:rPr>
        <w:t>二、</w:t>
      </w:r>
      <w:r>
        <w:rPr>
          <w:rFonts w:hint="eastAsia" w:ascii="仿宋" w:hAnsi="仿宋" w:eastAsia="仿宋" w:cs="仿宋"/>
          <w:color w:val="000000" w:themeColor="text1"/>
          <w:sz w:val="24"/>
          <w:szCs w:val="24"/>
        </w:rPr>
        <w:t>★</w:t>
      </w:r>
      <w:r>
        <w:rPr>
          <w:rFonts w:hint="eastAsia" w:ascii="仿宋" w:hAnsi="仿宋" w:eastAsia="仿宋" w:cs="仿宋"/>
          <w:b/>
          <w:bCs/>
          <w:color w:val="000000" w:themeColor="text1"/>
          <w:sz w:val="24"/>
          <w:szCs w:val="24"/>
          <w:lang w:val="en-US" w:eastAsia="zh-CN"/>
        </w:rPr>
        <w:t>技术服务内容和目标</w:t>
      </w:r>
    </w:p>
    <w:p>
      <w:pPr>
        <w:numPr>
          <w:ilvl w:val="0"/>
          <w:numId w:val="0"/>
        </w:numPr>
        <w:ind w:leftChars="0"/>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 xml:space="preserve"> 2.1</w:t>
      </w:r>
      <w:r>
        <w:rPr>
          <w:rFonts w:hint="eastAsia" w:ascii="仿宋" w:hAnsi="仿宋" w:eastAsia="仿宋" w:cs="仿宋"/>
          <w:b/>
          <w:bCs/>
          <w:color w:val="auto"/>
          <w:sz w:val="24"/>
          <w:szCs w:val="24"/>
          <w:lang w:val="en-US" w:eastAsia="zh-CN"/>
        </w:rPr>
        <w:t>技术服务内容</w:t>
      </w:r>
    </w:p>
    <w:p>
      <w:pPr>
        <w:numPr>
          <w:ilvl w:val="0"/>
          <w:numId w:val="0"/>
        </w:numPr>
        <w:spacing w:line="360" w:lineRule="auto"/>
        <w:ind w:left="238" w:leftChars="70" w:firstLine="0" w:firstLineChars="0"/>
        <w:rPr>
          <w:rFonts w:hint="eastAsia" w:ascii="仿宋" w:hAnsi="仿宋" w:eastAsia="仿宋"/>
          <w:color w:val="auto"/>
          <w:sz w:val="24"/>
          <w:szCs w:val="22"/>
          <w:lang w:val="en-US" w:eastAsia="zh-CN"/>
        </w:rPr>
      </w:pPr>
      <w:r>
        <w:rPr>
          <w:rFonts w:hint="eastAsia" w:ascii="仿宋" w:hAnsi="仿宋" w:eastAsia="仿宋"/>
          <w:color w:val="auto"/>
          <w:sz w:val="24"/>
          <w:szCs w:val="22"/>
          <w:lang w:val="en-US" w:eastAsia="zh-CN"/>
        </w:rPr>
        <w:t>（1）根据自动驾驶五大核心技术，激光雷达的点云数据处理技术服务，毫米波雷达的点云数据处理技术服务，路径规划、避障算法技术服务，横、纵向车辆控制技术服务，RTK定位、激光雷达SLAM（视觉定位与建图技术）和视觉SLAM技术服务，CAN、串口、UDP\TCP等通讯协议技术服务，人机交互界面设计技术服务等；</w:t>
      </w:r>
    </w:p>
    <w:p>
      <w:pPr>
        <w:numPr>
          <w:ilvl w:val="0"/>
          <w:numId w:val="0"/>
        </w:numPr>
        <w:spacing w:line="360" w:lineRule="auto"/>
        <w:ind w:left="238" w:leftChars="70" w:firstLine="0" w:firstLineChars="0"/>
        <w:rPr>
          <w:rFonts w:hint="eastAsia" w:ascii="仿宋" w:hAnsi="仿宋" w:eastAsia="仿宋"/>
          <w:color w:val="auto"/>
          <w:sz w:val="24"/>
          <w:szCs w:val="22"/>
          <w:lang w:val="en-US" w:eastAsia="zh-CN"/>
        </w:rPr>
      </w:pPr>
      <w:r>
        <w:rPr>
          <w:rFonts w:hint="eastAsia" w:ascii="仿宋" w:hAnsi="仿宋" w:eastAsia="仿宋"/>
          <w:color w:val="auto"/>
          <w:sz w:val="24"/>
          <w:szCs w:val="22"/>
          <w:lang w:val="en-US" w:eastAsia="zh-CN"/>
        </w:rPr>
        <w:t>（2）提供目前最前沿自动驾驶技术信息，并对学校相关老师进行培训，指导研发或共同进行设计研发等；</w:t>
      </w:r>
    </w:p>
    <w:p>
      <w:pPr>
        <w:numPr>
          <w:ilvl w:val="0"/>
          <w:numId w:val="0"/>
        </w:numPr>
        <w:spacing w:line="360" w:lineRule="auto"/>
        <w:ind w:left="238" w:leftChars="70" w:firstLine="0" w:firstLineChars="0"/>
        <w:rPr>
          <w:rFonts w:hint="eastAsia" w:ascii="仿宋" w:hAnsi="仿宋" w:eastAsia="仿宋"/>
          <w:color w:val="auto"/>
          <w:sz w:val="24"/>
          <w:szCs w:val="22"/>
          <w:lang w:val="en-US" w:eastAsia="zh-CN"/>
        </w:rPr>
      </w:pPr>
      <w:r>
        <w:rPr>
          <w:rFonts w:hint="eastAsia" w:ascii="仿宋" w:hAnsi="仿宋" w:eastAsia="仿宋"/>
          <w:color w:val="auto"/>
          <w:sz w:val="24"/>
          <w:szCs w:val="22"/>
          <w:lang w:val="en-US" w:eastAsia="zh-CN"/>
        </w:rPr>
        <w:t>（3）协助学校进行专利申报和在核心期刊上发表论文；</w:t>
      </w:r>
    </w:p>
    <w:p>
      <w:pPr>
        <w:numPr>
          <w:ilvl w:val="0"/>
          <w:numId w:val="0"/>
        </w:numPr>
        <w:spacing w:line="360" w:lineRule="auto"/>
        <w:ind w:left="238" w:leftChars="70" w:firstLine="0" w:firstLineChars="0"/>
        <w:rPr>
          <w:rFonts w:hint="eastAsia" w:ascii="仿宋" w:hAnsi="仿宋" w:eastAsia="仿宋"/>
          <w:color w:val="auto"/>
          <w:sz w:val="24"/>
          <w:szCs w:val="22"/>
          <w:lang w:val="en-US" w:eastAsia="zh-CN"/>
        </w:rPr>
      </w:pPr>
      <w:r>
        <w:rPr>
          <w:rFonts w:hint="eastAsia" w:ascii="仿宋" w:hAnsi="仿宋" w:eastAsia="仿宋"/>
          <w:color w:val="auto"/>
          <w:sz w:val="24"/>
          <w:szCs w:val="22"/>
          <w:lang w:val="en-US" w:eastAsia="zh-CN"/>
        </w:rPr>
        <w:t>（4）协助学校参加“智能汽车”相关比赛，争取获得较好名次。</w:t>
      </w:r>
    </w:p>
    <w:p>
      <w:pPr>
        <w:spacing w:line="360" w:lineRule="auto"/>
        <w:ind w:firstLine="241" w:firstLineChars="100"/>
        <w:rPr>
          <w:rFonts w:hint="eastAsia" w:ascii="仿宋" w:hAnsi="仿宋" w:eastAsia="仿宋"/>
          <w:b/>
          <w:bCs/>
          <w:color w:val="auto"/>
          <w:sz w:val="24"/>
          <w:szCs w:val="22"/>
          <w:lang w:val="en-US" w:eastAsia="zh-CN"/>
        </w:rPr>
      </w:pPr>
      <w:r>
        <w:rPr>
          <w:rFonts w:hint="eastAsia" w:ascii="仿宋" w:hAnsi="仿宋" w:eastAsia="仿宋"/>
          <w:b/>
          <w:bCs/>
          <w:color w:val="auto"/>
          <w:sz w:val="24"/>
          <w:szCs w:val="22"/>
          <w:lang w:val="en-US" w:eastAsia="zh-CN"/>
        </w:rPr>
        <w:t>2.2技术服务目标</w:t>
      </w:r>
    </w:p>
    <w:p>
      <w:pPr>
        <w:spacing w:line="360" w:lineRule="auto"/>
        <w:ind w:firstLine="240" w:firstLineChars="100"/>
        <w:rPr>
          <w:rFonts w:hint="eastAsia" w:ascii="仿宋" w:hAnsi="仿宋" w:eastAsia="仿宋"/>
          <w:color w:val="auto"/>
          <w:sz w:val="24"/>
          <w:szCs w:val="22"/>
          <w:lang w:val="en-US" w:eastAsia="zh-CN"/>
        </w:rPr>
      </w:pPr>
      <w:r>
        <w:rPr>
          <w:rFonts w:hint="eastAsia" w:ascii="仿宋" w:hAnsi="仿宋" w:eastAsia="仿宋"/>
          <w:color w:val="auto"/>
          <w:sz w:val="24"/>
          <w:szCs w:val="22"/>
          <w:lang w:val="en-US" w:eastAsia="zh-CN"/>
        </w:rPr>
        <w:t xml:space="preserve">  通过中标方的技术服务和技术支持，使招标方能够实现以下技术目标：</w:t>
      </w:r>
    </w:p>
    <w:p>
      <w:pPr>
        <w:numPr>
          <w:ilvl w:val="0"/>
          <w:numId w:val="6"/>
        </w:numPr>
        <w:spacing w:line="360" w:lineRule="auto"/>
        <w:rPr>
          <w:rFonts w:ascii="仿宋" w:hAnsi="仿宋" w:eastAsia="仿宋"/>
          <w:color w:val="auto"/>
          <w:sz w:val="24"/>
          <w:szCs w:val="22"/>
        </w:rPr>
      </w:pPr>
      <w:r>
        <w:rPr>
          <w:rFonts w:hint="eastAsia" w:ascii="仿宋" w:hAnsi="仿宋" w:eastAsia="仿宋"/>
          <w:color w:val="auto"/>
          <w:sz w:val="24"/>
          <w:szCs w:val="22"/>
        </w:rPr>
        <w:t>异质多传感器的融合感知成像技术</w:t>
      </w:r>
    </w:p>
    <w:p>
      <w:pPr>
        <w:spacing w:line="360" w:lineRule="auto"/>
        <w:ind w:firstLine="480" w:firstLineChars="200"/>
        <w:jc w:val="left"/>
        <w:rPr>
          <w:rFonts w:ascii="仿宋" w:hAnsi="仿宋" w:eastAsia="仿宋"/>
          <w:color w:val="auto"/>
          <w:sz w:val="24"/>
          <w:szCs w:val="22"/>
        </w:rPr>
      </w:pPr>
      <w:r>
        <w:rPr>
          <w:rFonts w:hint="eastAsia" w:ascii="仿宋" w:hAnsi="仿宋" w:eastAsia="仿宋"/>
          <w:color w:val="auto"/>
          <w:sz w:val="24"/>
          <w:szCs w:val="22"/>
        </w:rPr>
        <w:t>雷达系统对环境适应性强，对景深信息与速度信息提取方面具有优势，</w:t>
      </w:r>
      <w:r>
        <w:rPr>
          <w:rFonts w:hint="eastAsia" w:ascii="仿宋" w:hAnsi="仿宋" w:eastAsia="仿宋"/>
          <w:color w:val="auto"/>
          <w:sz w:val="24"/>
          <w:szCs w:val="22"/>
          <w:lang w:val="en-US" w:eastAsia="zh-CN"/>
        </w:rPr>
        <w:t>但</w:t>
      </w:r>
      <w:r>
        <w:rPr>
          <w:rFonts w:hint="eastAsia" w:ascii="仿宋" w:hAnsi="仿宋" w:eastAsia="仿宋"/>
          <w:color w:val="auto"/>
          <w:sz w:val="24"/>
          <w:szCs w:val="22"/>
        </w:rPr>
        <w:t>存在原始数据噪声较大，漏检率与误检率较高，角度分辨率不高得劣势。视觉系统而言，获取信息丰富，成本低，尤其在目标识别分类具有较大优势，但存在实时性较差，易受环境影响</w:t>
      </w:r>
      <w:r>
        <w:rPr>
          <w:rFonts w:hint="eastAsia" w:ascii="仿宋" w:hAnsi="仿宋" w:eastAsia="仿宋"/>
          <w:color w:val="auto"/>
          <w:sz w:val="24"/>
          <w:szCs w:val="22"/>
          <w:lang w:val="en-US" w:eastAsia="zh-CN"/>
        </w:rPr>
        <w:t>等</w:t>
      </w:r>
      <w:r>
        <w:rPr>
          <w:rFonts w:hint="eastAsia" w:ascii="仿宋" w:hAnsi="仿宋" w:eastAsia="仿宋"/>
          <w:color w:val="auto"/>
          <w:sz w:val="24"/>
          <w:szCs w:val="22"/>
        </w:rPr>
        <w:t>不足。将两者取长补短，以融合的方式获取适应性与鲁棒性更优的车辆识别算法。采用多传感器进行探测，增加测量的维度和置信度,降低对单传感器性能的要求；扩展空间和时间的覆盖范围,提高空间分辨率,对覆盖范围补盲；改进系统的可靠性和维护性；提高系统容错性和运行鲁棒性。</w:t>
      </w:r>
    </w:p>
    <w:p>
      <w:pPr>
        <w:spacing w:line="360" w:lineRule="auto"/>
        <w:ind w:firstLine="480" w:firstLineChars="200"/>
        <w:jc w:val="left"/>
        <w:rPr>
          <w:rFonts w:ascii="仿宋" w:hAnsi="仿宋" w:eastAsia="仿宋"/>
          <w:color w:val="auto"/>
          <w:sz w:val="24"/>
          <w:szCs w:val="22"/>
        </w:rPr>
      </w:pPr>
      <w:r>
        <w:rPr>
          <w:rFonts w:hint="eastAsia" w:ascii="仿宋" w:hAnsi="仿宋" w:eastAsia="仿宋"/>
          <w:color w:val="auto"/>
          <w:sz w:val="24"/>
          <w:szCs w:val="22"/>
          <w:lang w:val="en-US" w:eastAsia="zh-CN"/>
        </w:rPr>
        <w:t>技术服务目标就是</w:t>
      </w:r>
      <w:r>
        <w:rPr>
          <w:rFonts w:hint="eastAsia" w:ascii="仿宋" w:hAnsi="仿宋" w:eastAsia="仿宋"/>
          <w:color w:val="auto"/>
          <w:sz w:val="24"/>
          <w:szCs w:val="22"/>
        </w:rPr>
        <w:t>基于激光雷达擅长探测检测障碍物3D轮廓的环境感知并配合毫米波雷达技术实现对路面、静态物体和动态物体的感知。对于动态物体，不仅要检测还要对其轨迹进行追踪，并根据追踪结果，预测该物体下一步的轨迹（位置），特别是对多个移动物体的轨迹的追踪与预测，同时设计视觉环境感知的综合方案，实现多传感器的数据融合，真正做到无人驾驶；</w:t>
      </w:r>
    </w:p>
    <w:p>
      <w:pPr>
        <w:numPr>
          <w:ilvl w:val="0"/>
          <w:numId w:val="0"/>
        </w:numPr>
        <w:spacing w:line="360" w:lineRule="auto"/>
        <w:ind w:firstLine="480" w:firstLineChars="200"/>
        <w:rPr>
          <w:rFonts w:ascii="仿宋" w:hAnsi="仿宋" w:eastAsia="仿宋"/>
          <w:color w:val="auto"/>
          <w:sz w:val="24"/>
          <w:szCs w:val="22"/>
        </w:rPr>
      </w:pPr>
      <w:r>
        <w:rPr>
          <w:rFonts w:hint="eastAsia" w:ascii="仿宋" w:hAnsi="仿宋" w:eastAsia="仿宋"/>
          <w:color w:val="auto"/>
          <w:sz w:val="24"/>
          <w:szCs w:val="22"/>
          <w:lang w:eastAsia="zh-CN"/>
        </w:rPr>
        <w:t>（</w:t>
      </w:r>
      <w:r>
        <w:rPr>
          <w:rFonts w:hint="eastAsia" w:ascii="仿宋" w:hAnsi="仿宋" w:eastAsia="仿宋"/>
          <w:color w:val="auto"/>
          <w:sz w:val="24"/>
          <w:szCs w:val="22"/>
          <w:lang w:val="en-US" w:eastAsia="zh-CN"/>
        </w:rPr>
        <w:t>2</w:t>
      </w:r>
      <w:r>
        <w:rPr>
          <w:rFonts w:hint="eastAsia" w:ascii="仿宋" w:hAnsi="仿宋" w:eastAsia="仿宋"/>
          <w:color w:val="auto"/>
          <w:sz w:val="24"/>
          <w:szCs w:val="22"/>
          <w:lang w:eastAsia="zh-CN"/>
        </w:rPr>
        <w:t>）</w:t>
      </w:r>
      <w:r>
        <w:rPr>
          <w:rFonts w:hint="eastAsia" w:ascii="仿宋" w:hAnsi="仿宋" w:eastAsia="仿宋"/>
          <w:color w:val="auto"/>
          <w:sz w:val="24"/>
          <w:szCs w:val="22"/>
        </w:rPr>
        <w:t>车辆的路径及速度耦合规划技术</w:t>
      </w:r>
    </w:p>
    <w:p>
      <w:pPr>
        <w:pStyle w:val="27"/>
        <w:shd w:val="clear" w:color="auto" w:fill="FFFFFF"/>
        <w:spacing w:before="0" w:beforeAutospacing="0" w:after="0" w:afterAutospacing="0" w:line="360" w:lineRule="auto"/>
        <w:ind w:firstLine="480" w:firstLineChars="200"/>
        <w:rPr>
          <w:rFonts w:ascii="仿宋" w:hAnsi="仿宋" w:eastAsia="仿宋"/>
          <w:color w:val="auto"/>
          <w:sz w:val="24"/>
          <w:szCs w:val="22"/>
        </w:rPr>
      </w:pPr>
      <w:r>
        <w:rPr>
          <w:rFonts w:hint="eastAsia" w:ascii="仿宋" w:hAnsi="仿宋" w:eastAsia="仿宋"/>
          <w:color w:val="auto"/>
          <w:sz w:val="24"/>
          <w:szCs w:val="22"/>
          <w:lang w:val="en-US" w:eastAsia="zh-CN"/>
        </w:rPr>
        <w:t>帮助甲方</w:t>
      </w:r>
      <w:r>
        <w:rPr>
          <w:rFonts w:hint="eastAsia" w:ascii="仿宋" w:hAnsi="仿宋" w:eastAsia="仿宋"/>
          <w:color w:val="auto"/>
          <w:sz w:val="24"/>
          <w:szCs w:val="22"/>
        </w:rPr>
        <w:t>开发一种速度+路径的耦合规划算法，实现真正的全局最优解；收敛速度够快；算法程序应有很少的控制参数以便更容易使用。最终获得更高的计算精度和更快的收敛速度。</w:t>
      </w:r>
    </w:p>
    <w:p>
      <w:pPr>
        <w:pStyle w:val="27"/>
        <w:shd w:val="clear" w:color="auto" w:fill="FFFFFF"/>
        <w:spacing w:before="0" w:beforeAutospacing="0" w:after="0" w:afterAutospacing="0" w:line="360" w:lineRule="auto"/>
        <w:ind w:firstLine="480" w:firstLineChars="200"/>
        <w:rPr>
          <w:rFonts w:ascii="仿宋" w:hAnsi="仿宋" w:eastAsia="仿宋"/>
          <w:color w:val="auto"/>
          <w:sz w:val="24"/>
          <w:szCs w:val="22"/>
        </w:rPr>
      </w:pPr>
      <w:r>
        <w:rPr>
          <w:rFonts w:hint="eastAsia" w:ascii="仿宋" w:hAnsi="仿宋" w:eastAsia="仿宋"/>
          <w:color w:val="auto"/>
          <w:sz w:val="24"/>
          <w:szCs w:val="22"/>
        </w:rPr>
        <w:t>实现决策规划系统依据环境感知和导航子系统输出信息对当前环境作出分析，通过一些特定的约束条件规划出给定多条可选安全路径，并从中选取一条最优路径，然后对底层控制执行模块下达车辆路径规划、避障、横纵行驶等指令，作为车辆行驶轨迹的过程。</w:t>
      </w:r>
    </w:p>
    <w:p>
      <w:pPr>
        <w:numPr>
          <w:ilvl w:val="0"/>
          <w:numId w:val="0"/>
        </w:numPr>
        <w:spacing w:line="360" w:lineRule="auto"/>
        <w:ind w:firstLine="480" w:firstLineChars="200"/>
        <w:rPr>
          <w:rFonts w:ascii="仿宋" w:hAnsi="仿宋" w:eastAsia="仿宋"/>
          <w:color w:val="auto"/>
          <w:sz w:val="24"/>
          <w:szCs w:val="22"/>
        </w:rPr>
      </w:pPr>
      <w:r>
        <w:rPr>
          <w:rFonts w:hint="eastAsia" w:ascii="仿宋" w:hAnsi="仿宋" w:eastAsia="仿宋"/>
          <w:color w:val="auto"/>
          <w:sz w:val="24"/>
          <w:szCs w:val="22"/>
          <w:lang w:eastAsia="zh-CN"/>
        </w:rPr>
        <w:t>（</w:t>
      </w:r>
      <w:r>
        <w:rPr>
          <w:rFonts w:hint="eastAsia" w:ascii="仿宋" w:hAnsi="仿宋" w:eastAsia="仿宋"/>
          <w:color w:val="auto"/>
          <w:sz w:val="24"/>
          <w:szCs w:val="22"/>
          <w:lang w:val="en-US" w:eastAsia="zh-CN"/>
        </w:rPr>
        <w:t>3</w:t>
      </w:r>
      <w:r>
        <w:rPr>
          <w:rFonts w:hint="eastAsia" w:ascii="仿宋" w:hAnsi="仿宋" w:eastAsia="仿宋"/>
          <w:color w:val="auto"/>
          <w:sz w:val="24"/>
          <w:szCs w:val="22"/>
          <w:lang w:eastAsia="zh-CN"/>
        </w:rPr>
        <w:t>）</w:t>
      </w:r>
      <w:r>
        <w:rPr>
          <w:rFonts w:hint="eastAsia" w:ascii="仿宋" w:hAnsi="仿宋" w:eastAsia="仿宋"/>
          <w:color w:val="auto"/>
          <w:sz w:val="24"/>
          <w:szCs w:val="22"/>
        </w:rPr>
        <w:t>融合S</w:t>
      </w:r>
      <w:r>
        <w:rPr>
          <w:rFonts w:ascii="仿宋" w:hAnsi="仿宋" w:eastAsia="仿宋"/>
          <w:color w:val="auto"/>
          <w:sz w:val="24"/>
          <w:szCs w:val="22"/>
        </w:rPr>
        <w:t>LAM</w:t>
      </w:r>
      <w:r>
        <w:rPr>
          <w:rFonts w:hint="eastAsia" w:ascii="仿宋" w:hAnsi="仿宋" w:eastAsia="仿宋"/>
          <w:color w:val="auto"/>
          <w:sz w:val="24"/>
          <w:szCs w:val="22"/>
        </w:rPr>
        <w:t>、高精度地图和D</w:t>
      </w:r>
      <w:r>
        <w:rPr>
          <w:rFonts w:ascii="仿宋" w:hAnsi="仿宋" w:eastAsia="仿宋"/>
          <w:color w:val="auto"/>
          <w:sz w:val="24"/>
          <w:szCs w:val="22"/>
        </w:rPr>
        <w:t>GPS</w:t>
      </w:r>
      <w:r>
        <w:rPr>
          <w:rFonts w:hint="eastAsia" w:ascii="仿宋" w:hAnsi="仿宋" w:eastAsia="仿宋"/>
          <w:color w:val="auto"/>
          <w:sz w:val="24"/>
          <w:szCs w:val="22"/>
        </w:rPr>
        <w:t>的动态高精度冗余定位算法s</w:t>
      </w:r>
    </w:p>
    <w:p>
      <w:pPr>
        <w:pStyle w:val="27"/>
        <w:shd w:val="clear" w:color="auto" w:fill="FFFFFF"/>
        <w:spacing w:before="0" w:beforeAutospacing="0" w:after="0" w:afterAutospacing="0" w:line="360" w:lineRule="auto"/>
        <w:ind w:firstLine="480" w:firstLineChars="200"/>
        <w:rPr>
          <w:rFonts w:ascii="仿宋" w:hAnsi="仿宋" w:eastAsia="仿宋"/>
          <w:color w:val="auto"/>
          <w:sz w:val="24"/>
          <w:szCs w:val="22"/>
        </w:rPr>
      </w:pPr>
      <w:r>
        <w:rPr>
          <w:rFonts w:hint="eastAsia" w:ascii="仿宋" w:hAnsi="仿宋" w:eastAsia="仿宋"/>
          <w:color w:val="auto"/>
          <w:sz w:val="24"/>
          <w:szCs w:val="22"/>
        </w:rPr>
        <w:t>本</w:t>
      </w:r>
      <w:r>
        <w:rPr>
          <w:rFonts w:hint="eastAsia" w:ascii="仿宋" w:hAnsi="仿宋" w:eastAsia="仿宋"/>
          <w:color w:val="auto"/>
          <w:sz w:val="24"/>
          <w:szCs w:val="22"/>
          <w:lang w:val="en-US" w:eastAsia="zh-CN"/>
        </w:rPr>
        <w:t>技术服务</w:t>
      </w:r>
      <w:r>
        <w:rPr>
          <w:rFonts w:hint="eastAsia" w:ascii="仿宋" w:hAnsi="仿宋" w:eastAsia="仿宋"/>
          <w:color w:val="auto"/>
          <w:sz w:val="24"/>
          <w:szCs w:val="22"/>
        </w:rPr>
        <w:t>项目</w:t>
      </w:r>
      <w:r>
        <w:rPr>
          <w:rFonts w:hint="eastAsia" w:ascii="仿宋" w:hAnsi="仿宋" w:eastAsia="仿宋"/>
          <w:color w:val="auto"/>
          <w:sz w:val="24"/>
          <w:szCs w:val="22"/>
          <w:lang w:val="en-US" w:eastAsia="zh-CN"/>
        </w:rPr>
        <w:t>帮助甲方</w:t>
      </w:r>
      <w:r>
        <w:rPr>
          <w:rFonts w:hint="eastAsia" w:ascii="仿宋" w:hAnsi="仿宋" w:eastAsia="仿宋"/>
          <w:color w:val="auto"/>
          <w:sz w:val="24"/>
          <w:szCs w:val="22"/>
        </w:rPr>
        <w:t>提出了一种基于高精度电子地图、GNSS系统、以及地图匹配技术，来获得车辆高频率精准定位的方法。基本掌握和应用</w:t>
      </w:r>
      <w:r>
        <w:rPr>
          <w:rFonts w:ascii="仿宋" w:hAnsi="仿宋" w:eastAsia="仿宋"/>
          <w:color w:val="auto"/>
          <w:sz w:val="24"/>
          <w:szCs w:val="22"/>
        </w:rPr>
        <w:t>卫星定位技术</w:t>
      </w:r>
      <w:r>
        <w:rPr>
          <w:rFonts w:hint="eastAsia" w:ascii="仿宋" w:hAnsi="仿宋" w:eastAsia="仿宋"/>
          <w:color w:val="auto"/>
          <w:sz w:val="24"/>
          <w:szCs w:val="22"/>
        </w:rPr>
        <w:t>、</w:t>
      </w:r>
      <w:r>
        <w:rPr>
          <w:rFonts w:ascii="仿宋" w:hAnsi="仿宋" w:eastAsia="仿宋"/>
          <w:color w:val="auto"/>
          <w:sz w:val="24"/>
          <w:szCs w:val="22"/>
        </w:rPr>
        <w:t>惯性导航定位技术</w:t>
      </w:r>
      <w:r>
        <w:rPr>
          <w:rFonts w:hint="eastAsia" w:ascii="仿宋" w:hAnsi="仿宋" w:eastAsia="仿宋"/>
          <w:color w:val="auto"/>
          <w:sz w:val="24"/>
          <w:szCs w:val="22"/>
        </w:rPr>
        <w:t>、</w:t>
      </w:r>
      <w:r>
        <w:rPr>
          <w:rFonts w:ascii="仿宋" w:hAnsi="仿宋" w:eastAsia="仿宋"/>
          <w:color w:val="auto"/>
          <w:sz w:val="24"/>
          <w:szCs w:val="22"/>
        </w:rPr>
        <w:t>地图匹配定位技术</w:t>
      </w:r>
      <w:r>
        <w:rPr>
          <w:rFonts w:hint="eastAsia" w:ascii="仿宋" w:hAnsi="仿宋" w:eastAsia="仿宋"/>
          <w:color w:val="auto"/>
          <w:sz w:val="24"/>
          <w:szCs w:val="22"/>
        </w:rPr>
        <w:t>、</w:t>
      </w:r>
      <w:r>
        <w:rPr>
          <w:rFonts w:ascii="仿宋" w:hAnsi="仿宋" w:eastAsia="仿宋"/>
          <w:color w:val="auto"/>
          <w:sz w:val="24"/>
          <w:szCs w:val="22"/>
        </w:rPr>
        <w:t>多传感器融合定位技术</w:t>
      </w:r>
      <w:r>
        <w:rPr>
          <w:rFonts w:hint="eastAsia" w:ascii="仿宋" w:hAnsi="仿宋" w:eastAsia="仿宋"/>
          <w:color w:val="auto"/>
          <w:sz w:val="24"/>
          <w:szCs w:val="22"/>
        </w:rPr>
        <w:t>，以及各自的定位原理和误差分析。</w:t>
      </w:r>
    </w:p>
    <w:p>
      <w:pPr>
        <w:numPr>
          <w:ilvl w:val="0"/>
          <w:numId w:val="0"/>
        </w:numPr>
        <w:spacing w:line="360" w:lineRule="auto"/>
        <w:ind w:firstLine="480" w:firstLineChars="200"/>
        <w:rPr>
          <w:rFonts w:ascii="仿宋" w:hAnsi="仿宋" w:eastAsia="仿宋"/>
          <w:color w:val="auto"/>
          <w:sz w:val="24"/>
          <w:szCs w:val="22"/>
        </w:rPr>
      </w:pPr>
      <w:r>
        <w:rPr>
          <w:rFonts w:hint="eastAsia" w:ascii="仿宋" w:hAnsi="仿宋" w:eastAsia="仿宋"/>
          <w:color w:val="auto"/>
          <w:sz w:val="24"/>
          <w:szCs w:val="22"/>
          <w:lang w:eastAsia="zh-CN"/>
        </w:rPr>
        <w:t>（</w:t>
      </w:r>
      <w:r>
        <w:rPr>
          <w:rFonts w:hint="eastAsia" w:ascii="仿宋" w:hAnsi="仿宋" w:eastAsia="仿宋"/>
          <w:color w:val="auto"/>
          <w:sz w:val="24"/>
          <w:szCs w:val="22"/>
          <w:lang w:val="en-US" w:eastAsia="zh-CN"/>
        </w:rPr>
        <w:t>4</w:t>
      </w:r>
      <w:r>
        <w:rPr>
          <w:rFonts w:hint="eastAsia" w:ascii="仿宋" w:hAnsi="仿宋" w:eastAsia="仿宋"/>
          <w:color w:val="auto"/>
          <w:sz w:val="24"/>
          <w:szCs w:val="22"/>
          <w:lang w:eastAsia="zh-CN"/>
        </w:rPr>
        <w:t>）</w:t>
      </w:r>
      <w:r>
        <w:rPr>
          <w:rFonts w:hint="eastAsia" w:ascii="仿宋" w:hAnsi="仿宋" w:eastAsia="仿宋"/>
          <w:color w:val="auto"/>
          <w:sz w:val="24"/>
          <w:szCs w:val="22"/>
        </w:rPr>
        <w:t>车辆运动学及动力学的耦合建模控制</w:t>
      </w:r>
    </w:p>
    <w:p>
      <w:pPr>
        <w:pStyle w:val="27"/>
        <w:shd w:val="clear" w:color="auto" w:fill="FFFFFF"/>
        <w:spacing w:before="0" w:beforeAutospacing="0" w:after="0" w:afterAutospacing="0" w:line="360" w:lineRule="auto"/>
        <w:ind w:left="363" w:firstLine="480" w:firstLineChars="200"/>
        <w:rPr>
          <w:rFonts w:hint="eastAsia" w:ascii="仿宋" w:hAnsi="仿宋" w:eastAsia="仿宋"/>
          <w:color w:val="auto"/>
          <w:sz w:val="24"/>
          <w:szCs w:val="22"/>
          <w:lang w:eastAsia="zh-CN"/>
        </w:rPr>
      </w:pPr>
      <w:r>
        <w:rPr>
          <w:rFonts w:hint="eastAsia" w:ascii="仿宋" w:hAnsi="仿宋" w:eastAsia="仿宋"/>
          <w:color w:val="auto"/>
          <w:sz w:val="24"/>
          <w:szCs w:val="22"/>
          <w:lang w:val="en-US" w:eastAsia="zh-CN"/>
        </w:rPr>
        <w:t>本项目技术服务目标</w:t>
      </w:r>
      <w:r>
        <w:rPr>
          <w:rFonts w:hint="eastAsia" w:ascii="仿宋" w:hAnsi="仿宋" w:eastAsia="仿宋"/>
          <w:color w:val="auto"/>
          <w:sz w:val="24"/>
          <w:szCs w:val="22"/>
        </w:rPr>
        <w:t>是</w:t>
      </w:r>
      <w:r>
        <w:rPr>
          <w:rFonts w:hint="eastAsia" w:ascii="仿宋" w:hAnsi="仿宋" w:eastAsia="仿宋"/>
          <w:color w:val="auto"/>
          <w:sz w:val="24"/>
          <w:szCs w:val="22"/>
          <w:lang w:val="en-US" w:eastAsia="zh-CN"/>
        </w:rPr>
        <w:t>帮助甲方实现</w:t>
      </w:r>
      <w:r>
        <w:rPr>
          <w:rFonts w:hint="eastAsia" w:ascii="仿宋" w:hAnsi="仿宋" w:eastAsia="仿宋"/>
          <w:color w:val="auto"/>
          <w:sz w:val="24"/>
          <w:szCs w:val="22"/>
        </w:rPr>
        <w:t>按照给定的运动目标和约束条件，对车辆的转向、驱动和制动进行综合控制，使其以理想速度在期望轨迹上行驶，同时，在运动控制过程中要保证车辆的操纵稳定性</w:t>
      </w:r>
      <w:r>
        <w:rPr>
          <w:rFonts w:hint="eastAsia" w:ascii="仿宋" w:hAnsi="仿宋" w:eastAsia="仿宋"/>
          <w:color w:val="auto"/>
          <w:sz w:val="24"/>
          <w:szCs w:val="22"/>
          <w:lang w:eastAsia="zh-CN"/>
        </w:rPr>
        <w:t>。</w:t>
      </w:r>
    </w:p>
    <w:p>
      <w:pPr>
        <w:numPr>
          <w:ilvl w:val="0"/>
          <w:numId w:val="0"/>
        </w:numPr>
        <w:ind w:left="-420" w:leftChars="0"/>
        <w:rPr>
          <w:rFonts w:hint="eastAsia" w:ascii="仿宋" w:hAnsi="仿宋" w:eastAsia="仿宋" w:cs="Times New Roman"/>
          <w:color w:val="000000" w:themeColor="text1"/>
          <w:sz w:val="24"/>
          <w:szCs w:val="22"/>
        </w:rPr>
      </w:pPr>
      <w:r>
        <w:rPr>
          <w:rFonts w:hint="eastAsia" w:ascii="仿宋" w:hAnsi="仿宋" w:eastAsia="仿宋" w:cs="仿宋"/>
          <w:b/>
          <w:sz w:val="24"/>
          <w:szCs w:val="24"/>
          <w:lang w:val="en-US" w:eastAsia="zh-CN"/>
        </w:rPr>
        <w:t>三、</w:t>
      </w:r>
      <w:r>
        <w:rPr>
          <w:rFonts w:hint="eastAsia" w:ascii="仿宋" w:hAnsi="仿宋" w:eastAsia="仿宋" w:cs="仿宋"/>
          <w:b/>
          <w:sz w:val="24"/>
          <w:szCs w:val="24"/>
        </w:rPr>
        <w:t>技术服务质量保证</w:t>
      </w:r>
    </w:p>
    <w:p>
      <w:pPr>
        <w:pStyle w:val="18"/>
        <w:spacing w:line="560" w:lineRule="exact"/>
        <w:ind w:firstLine="240" w:firstLineChars="100"/>
        <w:rPr>
          <w:rFonts w:ascii="仿宋" w:hAnsi="仿宋" w:eastAsia="仿宋" w:cs="Times New Roman"/>
          <w:color w:val="000000" w:themeColor="text1"/>
          <w:sz w:val="24"/>
          <w:szCs w:val="22"/>
        </w:rPr>
      </w:pPr>
      <w:r>
        <w:rPr>
          <w:rFonts w:hint="eastAsia" w:ascii="仿宋" w:hAnsi="仿宋" w:eastAsia="仿宋" w:cs="Times New Roman"/>
          <w:color w:val="000000" w:themeColor="text1"/>
          <w:sz w:val="24"/>
          <w:szCs w:val="22"/>
          <w:lang w:val="en-US" w:eastAsia="zh-CN"/>
        </w:rPr>
        <w:t>3.1★中标方</w:t>
      </w:r>
      <w:r>
        <w:rPr>
          <w:rFonts w:hint="eastAsia" w:ascii="仿宋" w:hAnsi="仿宋" w:eastAsia="仿宋" w:cs="Times New Roman"/>
          <w:color w:val="000000" w:themeColor="text1"/>
          <w:sz w:val="24"/>
          <w:szCs w:val="22"/>
        </w:rPr>
        <w:t>提供的</w:t>
      </w:r>
      <w:r>
        <w:rPr>
          <w:rFonts w:hint="eastAsia" w:ascii="仿宋" w:hAnsi="仿宋" w:eastAsia="仿宋" w:cs="Times New Roman"/>
          <w:color w:val="000000" w:themeColor="text1"/>
          <w:sz w:val="24"/>
          <w:szCs w:val="22"/>
          <w:lang w:val="en-US" w:eastAsia="zh-CN"/>
        </w:rPr>
        <w:t>自动驾驶</w:t>
      </w:r>
      <w:r>
        <w:rPr>
          <w:rFonts w:hint="eastAsia" w:ascii="仿宋" w:hAnsi="仿宋" w:eastAsia="仿宋" w:cs="Times New Roman"/>
          <w:color w:val="000000" w:themeColor="text1"/>
          <w:sz w:val="24"/>
          <w:szCs w:val="22"/>
        </w:rPr>
        <w:t>技术应具有目前世界领先的前缘技术，随着技术发展，</w:t>
      </w:r>
      <w:r>
        <w:rPr>
          <w:rFonts w:hint="eastAsia" w:ascii="仿宋" w:hAnsi="仿宋" w:eastAsia="仿宋" w:cs="Times New Roman"/>
          <w:color w:val="000000" w:themeColor="text1"/>
          <w:sz w:val="24"/>
          <w:szCs w:val="22"/>
          <w:lang w:val="en-US" w:eastAsia="zh-CN"/>
        </w:rPr>
        <w:t>不断向甲方提供新的计算信息。</w:t>
      </w:r>
    </w:p>
    <w:p>
      <w:pPr>
        <w:pStyle w:val="18"/>
        <w:spacing w:line="360" w:lineRule="auto"/>
        <w:ind w:firstLine="240" w:firstLineChars="100"/>
        <w:rPr>
          <w:rFonts w:ascii="仿宋" w:hAnsi="仿宋" w:eastAsia="仿宋" w:cs="Times New Roman"/>
          <w:color w:val="000000" w:themeColor="text1"/>
          <w:sz w:val="24"/>
          <w:szCs w:val="22"/>
        </w:rPr>
      </w:pPr>
      <w:r>
        <w:rPr>
          <w:rFonts w:hint="eastAsia" w:ascii="仿宋" w:hAnsi="仿宋" w:eastAsia="仿宋" w:cs="Times New Roman"/>
          <w:color w:val="000000" w:themeColor="text1"/>
          <w:sz w:val="24"/>
          <w:szCs w:val="22"/>
        </w:rPr>
        <w:t>3.2 中标方</w:t>
      </w:r>
      <w:r>
        <w:rPr>
          <w:rFonts w:hint="eastAsia" w:ascii="仿宋" w:hAnsi="仿宋" w:eastAsia="仿宋" w:cs="Times New Roman"/>
          <w:color w:val="000000" w:themeColor="text1"/>
          <w:sz w:val="24"/>
          <w:szCs w:val="22"/>
          <w:lang w:val="en-US" w:eastAsia="zh-CN"/>
        </w:rPr>
        <w:t>提供的自动驾驶技术</w:t>
      </w:r>
      <w:r>
        <w:rPr>
          <w:rFonts w:hint="eastAsia" w:ascii="仿宋" w:hAnsi="仿宋" w:eastAsia="仿宋" w:cs="Times New Roman"/>
          <w:color w:val="000000" w:themeColor="text1"/>
          <w:sz w:val="24"/>
          <w:szCs w:val="22"/>
        </w:rPr>
        <w:t>应符合有关安全、环保规定。</w:t>
      </w:r>
    </w:p>
    <w:p>
      <w:pPr>
        <w:pStyle w:val="18"/>
        <w:spacing w:line="360" w:lineRule="auto"/>
        <w:ind w:firstLine="240" w:firstLineChars="100"/>
        <w:rPr>
          <w:rFonts w:ascii="仿宋" w:hAnsi="仿宋" w:eastAsia="仿宋" w:cs="Times New Roman"/>
          <w:color w:val="000000" w:themeColor="text1"/>
          <w:sz w:val="24"/>
          <w:szCs w:val="22"/>
        </w:rPr>
      </w:pPr>
      <w:r>
        <w:rPr>
          <w:rFonts w:hint="eastAsia" w:ascii="仿宋" w:hAnsi="仿宋" w:eastAsia="仿宋" w:cs="Times New Roman"/>
          <w:color w:val="000000" w:themeColor="text1"/>
          <w:sz w:val="24"/>
          <w:szCs w:val="22"/>
        </w:rPr>
        <w:t>3.3★中标方指导招标方形成的技术文件应是完整的、清晰易读的、准确无误的，能够满足招标方今后成果转化、教育教学的需要。</w:t>
      </w:r>
    </w:p>
    <w:p>
      <w:pPr>
        <w:snapToGrid w:val="0"/>
        <w:spacing w:line="56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3.4</w:t>
      </w:r>
      <w:r>
        <w:rPr>
          <w:rFonts w:hint="eastAsia" w:ascii="仿宋" w:hAnsi="仿宋" w:eastAsia="仿宋"/>
          <w:color w:val="000000" w:themeColor="text1"/>
          <w:sz w:val="24"/>
          <w:szCs w:val="22"/>
        </w:rPr>
        <w:t>中标方</w:t>
      </w:r>
      <w:r>
        <w:rPr>
          <w:rFonts w:hint="eastAsia" w:ascii="仿宋" w:hAnsi="仿宋" w:eastAsia="仿宋" w:cs="仿宋"/>
          <w:color w:val="000000" w:themeColor="text1"/>
          <w:kern w:val="24"/>
          <w:sz w:val="24"/>
          <w:szCs w:val="24"/>
        </w:rPr>
        <w:t>在合同签订40天内完成项目的技术服务，同时安排有经验的技术人员负责为甲方的相关教师进行为期3个月技术指导和培训。</w:t>
      </w:r>
    </w:p>
    <w:p>
      <w:pPr>
        <w:snapToGrid w:val="0"/>
        <w:spacing w:line="560" w:lineRule="exact"/>
        <w:ind w:firstLine="240" w:firstLineChars="100"/>
        <w:rPr>
          <w:rFonts w:hint="eastAsia" w:ascii="仿宋" w:hAnsi="仿宋" w:eastAsia="仿宋" w:cs="仿宋"/>
          <w:sz w:val="24"/>
          <w:szCs w:val="24"/>
          <w:lang w:val="en-US" w:eastAsia="zh-CN"/>
        </w:rPr>
      </w:pPr>
      <w:r>
        <w:rPr>
          <w:rFonts w:hint="eastAsia" w:ascii="仿宋" w:hAnsi="仿宋" w:eastAsia="仿宋" w:cs="仿宋"/>
          <w:color w:val="000000" w:themeColor="text1"/>
          <w:kern w:val="24"/>
          <w:sz w:val="24"/>
          <w:szCs w:val="24"/>
        </w:rPr>
        <w:t>3.5</w:t>
      </w:r>
      <w:r>
        <w:rPr>
          <w:rFonts w:hint="eastAsia" w:ascii="仿宋" w:hAnsi="仿宋" w:eastAsia="仿宋" w:cs="仿宋"/>
          <w:sz w:val="24"/>
          <w:szCs w:val="24"/>
        </w:rPr>
        <w:t>后期技术服务：</w:t>
      </w:r>
      <w:r>
        <w:rPr>
          <w:rFonts w:hint="eastAsia" w:ascii="仿宋" w:hAnsi="仿宋" w:eastAsia="仿宋" w:cs="仿宋"/>
          <w:sz w:val="24"/>
          <w:szCs w:val="24"/>
          <w:lang w:val="en-US" w:eastAsia="zh-CN"/>
        </w:rPr>
        <w:t>中标方应根据甲方的要求，不定期的对招标方指定人员进行培训。同时负责免费向招标方提供有关新的或改进的自动驾驶技术经验、技术开发和安全方面的所有资料及信息。</w:t>
      </w:r>
    </w:p>
    <w:p>
      <w:pPr>
        <w:snapToGrid w:val="0"/>
        <w:spacing w:line="560" w:lineRule="exact"/>
        <w:ind w:firstLine="480" w:firstLineChars="200"/>
        <w:rPr>
          <w:rFonts w:ascii="仿宋" w:hAnsi="仿宋" w:eastAsia="仿宋" w:cs="仿宋"/>
          <w:color w:val="000000" w:themeColor="text1"/>
          <w:kern w:val="24"/>
          <w:sz w:val="24"/>
          <w:szCs w:val="24"/>
        </w:rPr>
      </w:pPr>
      <w:r>
        <w:rPr>
          <w:rFonts w:hint="eastAsia" w:ascii="仿宋" w:hAnsi="仿宋" w:eastAsia="仿宋" w:cs="仿宋"/>
          <w:color w:val="000000" w:themeColor="text1"/>
          <w:kern w:val="24"/>
          <w:sz w:val="24"/>
          <w:szCs w:val="24"/>
        </w:rPr>
        <w:t>中标方在接到</w:t>
      </w:r>
      <w:r>
        <w:rPr>
          <w:rFonts w:hint="eastAsia" w:ascii="仿宋" w:hAnsi="仿宋" w:eastAsia="仿宋" w:cs="仿宋"/>
          <w:color w:val="000000" w:themeColor="text1"/>
          <w:kern w:val="24"/>
          <w:sz w:val="24"/>
          <w:szCs w:val="24"/>
          <w:lang w:val="en-US" w:eastAsia="zh-CN"/>
        </w:rPr>
        <w:t>招标</w:t>
      </w:r>
      <w:r>
        <w:rPr>
          <w:rFonts w:hint="eastAsia" w:ascii="仿宋" w:hAnsi="仿宋" w:eastAsia="仿宋" w:cs="仿宋"/>
          <w:color w:val="000000" w:themeColor="text1"/>
          <w:kern w:val="24"/>
          <w:sz w:val="24"/>
          <w:szCs w:val="24"/>
        </w:rPr>
        <w:t>方通知后，24小时内派人到</w:t>
      </w:r>
      <w:r>
        <w:rPr>
          <w:rFonts w:hint="eastAsia" w:ascii="仿宋" w:hAnsi="仿宋" w:eastAsia="仿宋" w:cs="仿宋"/>
          <w:color w:val="000000" w:themeColor="text1"/>
          <w:kern w:val="24"/>
          <w:sz w:val="24"/>
          <w:szCs w:val="24"/>
          <w:lang w:val="en-US" w:eastAsia="zh-CN"/>
        </w:rPr>
        <w:t>招标</w:t>
      </w:r>
      <w:r>
        <w:rPr>
          <w:rFonts w:hint="eastAsia" w:ascii="仿宋" w:hAnsi="仿宋" w:eastAsia="仿宋" w:cs="仿宋"/>
          <w:color w:val="000000" w:themeColor="text1"/>
          <w:kern w:val="24"/>
          <w:sz w:val="24"/>
          <w:szCs w:val="24"/>
        </w:rPr>
        <w:t>方指定现场指导</w:t>
      </w:r>
      <w:r>
        <w:rPr>
          <w:rFonts w:hint="eastAsia" w:ascii="仿宋" w:hAnsi="仿宋" w:eastAsia="仿宋" w:cs="仿宋"/>
          <w:color w:val="000000" w:themeColor="text1"/>
          <w:kern w:val="24"/>
          <w:sz w:val="24"/>
          <w:szCs w:val="24"/>
          <w:lang w:val="en-US" w:eastAsia="zh-CN"/>
        </w:rPr>
        <w:t>自动驾驶技术</w:t>
      </w:r>
      <w:r>
        <w:rPr>
          <w:rFonts w:hint="eastAsia" w:ascii="仿宋" w:hAnsi="仿宋" w:eastAsia="仿宋" w:cs="仿宋"/>
          <w:color w:val="000000" w:themeColor="text1"/>
          <w:kern w:val="24"/>
          <w:sz w:val="24"/>
          <w:szCs w:val="24"/>
        </w:rPr>
        <w:t>的应用、后续技术成果转化。</w:t>
      </w:r>
    </w:p>
    <w:p>
      <w:pPr>
        <w:spacing w:line="560" w:lineRule="exact"/>
        <w:ind w:firstLine="240" w:firstLineChars="100"/>
        <w:rPr>
          <w:rFonts w:ascii="仿宋" w:hAnsi="仿宋" w:eastAsia="仿宋" w:cs="仿宋"/>
          <w:b/>
          <w:sz w:val="24"/>
          <w:szCs w:val="24"/>
        </w:rPr>
      </w:pPr>
      <w:r>
        <w:rPr>
          <w:rFonts w:hint="eastAsia" w:ascii="仿宋" w:hAnsi="仿宋" w:eastAsia="仿宋" w:cs="仿宋"/>
          <w:color w:val="000000" w:themeColor="text1"/>
          <w:kern w:val="24"/>
          <w:sz w:val="24"/>
          <w:szCs w:val="24"/>
        </w:rPr>
        <w:t>3.6</w:t>
      </w:r>
      <w:r>
        <w:rPr>
          <w:rFonts w:ascii="仿宋" w:hAnsi="仿宋" w:eastAsia="仿宋" w:cs="仿宋"/>
          <w:color w:val="000000" w:themeColor="text1"/>
          <w:kern w:val="24"/>
          <w:sz w:val="24"/>
          <w:szCs w:val="24"/>
        </w:rPr>
        <w:t>如无特别约定，项目的质量保证期应为：自项目终验收合格之日起 12 个月。</w:t>
      </w:r>
    </w:p>
    <w:p>
      <w:pPr>
        <w:spacing w:line="560" w:lineRule="exact"/>
        <w:rPr>
          <w:rFonts w:ascii="仿宋" w:hAnsi="仿宋" w:eastAsia="仿宋" w:cs="仿宋"/>
          <w:b/>
          <w:sz w:val="24"/>
          <w:szCs w:val="24"/>
        </w:rPr>
      </w:pPr>
      <w:r>
        <w:rPr>
          <w:rFonts w:hint="eastAsia" w:ascii="仿宋" w:hAnsi="仿宋" w:eastAsia="仿宋" w:cs="仿宋"/>
          <w:b/>
          <w:sz w:val="24"/>
          <w:szCs w:val="24"/>
          <w:lang w:val="en-US" w:eastAsia="zh-CN"/>
        </w:rPr>
        <w:t>四</w:t>
      </w:r>
      <w:r>
        <w:rPr>
          <w:rFonts w:hint="eastAsia" w:ascii="仿宋" w:hAnsi="仿宋" w:eastAsia="仿宋" w:cs="仿宋"/>
          <w:b/>
          <w:sz w:val="24"/>
          <w:szCs w:val="24"/>
        </w:rPr>
        <w:t>、★付款方式</w:t>
      </w:r>
    </w:p>
    <w:p>
      <w:pPr>
        <w:pStyle w:val="59"/>
        <w:snapToGrid w:val="0"/>
        <w:spacing w:line="360" w:lineRule="auto"/>
        <w:ind w:firstLine="240" w:firstLineChars="100"/>
        <w:jc w:val="left"/>
        <w:rPr>
          <w:rFonts w:ascii="仿宋" w:hAnsi="仿宋" w:eastAsia="仿宋" w:cs="仿宋"/>
          <w:sz w:val="24"/>
          <w:szCs w:val="24"/>
        </w:rPr>
      </w:pPr>
      <w:r>
        <w:rPr>
          <w:rFonts w:hint="eastAsia" w:ascii="仿宋" w:hAnsi="仿宋" w:eastAsia="仿宋" w:cs="仿宋"/>
          <w:sz w:val="24"/>
          <w:szCs w:val="24"/>
        </w:rPr>
        <w:t>5.1付款方式：现金、银行承兑汇票等方式；</w:t>
      </w:r>
    </w:p>
    <w:p>
      <w:pPr>
        <w:pStyle w:val="59"/>
        <w:snapToGrid w:val="0"/>
        <w:spacing w:line="360" w:lineRule="auto"/>
        <w:ind w:firstLine="240" w:firstLineChars="100"/>
        <w:jc w:val="left"/>
        <w:rPr>
          <w:rFonts w:ascii="仿宋" w:hAnsi="仿宋" w:eastAsia="仿宋" w:cs="仿宋"/>
          <w:sz w:val="24"/>
          <w:szCs w:val="24"/>
        </w:rPr>
      </w:pPr>
      <w:r>
        <w:rPr>
          <w:rFonts w:hint="eastAsia" w:ascii="仿宋" w:hAnsi="仿宋" w:eastAsia="仿宋" w:cs="仿宋"/>
          <w:sz w:val="24"/>
          <w:szCs w:val="24"/>
        </w:rPr>
        <w:t>5.2合同签订招标方在收到</w:t>
      </w:r>
      <w:r>
        <w:rPr>
          <w:rFonts w:ascii="仿宋" w:hAnsi="仿宋" w:eastAsia="仿宋" w:cs="仿宋"/>
          <w:sz w:val="24"/>
          <w:szCs w:val="24"/>
        </w:rPr>
        <w:t>乙方开具的与应付金额等值的合格的增值税发票后的10日内，一次性以银行转账方式付至</w:t>
      </w:r>
      <w:r>
        <w:rPr>
          <w:rFonts w:hint="eastAsia" w:ascii="仿宋" w:hAnsi="仿宋" w:eastAsia="仿宋" w:cs="仿宋"/>
          <w:sz w:val="24"/>
          <w:szCs w:val="24"/>
        </w:rPr>
        <w:t>中标方</w:t>
      </w:r>
      <w:r>
        <w:rPr>
          <w:rFonts w:ascii="仿宋" w:hAnsi="仿宋" w:eastAsia="仿宋" w:cs="仿宋"/>
          <w:sz w:val="24"/>
          <w:szCs w:val="24"/>
        </w:rPr>
        <w:t>指定的银行</w:t>
      </w:r>
      <w:r>
        <w:rPr>
          <w:rFonts w:hint="eastAsia" w:ascii="仿宋" w:hAnsi="仿宋" w:eastAsia="仿宋" w:cs="仿宋"/>
          <w:sz w:val="24"/>
          <w:szCs w:val="24"/>
        </w:rPr>
        <w:t>账户。</w:t>
      </w:r>
    </w:p>
    <w:p>
      <w:pPr>
        <w:pStyle w:val="59"/>
        <w:snapToGrid w:val="0"/>
        <w:spacing w:line="360" w:lineRule="auto"/>
        <w:ind w:firstLine="240" w:firstLineChars="100"/>
        <w:jc w:val="left"/>
        <w:rPr>
          <w:rFonts w:ascii="仿宋" w:hAnsi="仿宋" w:eastAsia="仿宋" w:cs="仿宋"/>
          <w:sz w:val="24"/>
          <w:szCs w:val="24"/>
        </w:rPr>
      </w:pPr>
    </w:p>
    <w:p>
      <w:pPr>
        <w:rPr>
          <w:rFonts w:ascii="仿宋" w:hAnsi="仿宋" w:eastAsia="仿宋" w:cs="仿宋"/>
          <w:sz w:val="24"/>
          <w:szCs w:val="24"/>
        </w:rPr>
      </w:pPr>
    </w:p>
    <w:p>
      <w:pPr>
        <w:tabs>
          <w:tab w:val="left" w:pos="5590"/>
        </w:tabs>
        <w:rPr>
          <w:rFonts w:ascii="仿宋" w:hAnsi="仿宋" w:eastAsia="仿宋" w:cs="仿宋"/>
          <w:color w:val="000000" w:themeColor="text1"/>
          <w:sz w:val="24"/>
          <w:szCs w:val="24"/>
        </w:rPr>
        <w:sectPr>
          <w:headerReference r:id="rId4" w:type="default"/>
          <w:footerReference r:id="rId5"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color w:val="000000" w:themeColor="text1"/>
          <w:sz w:val="24"/>
          <w:szCs w:val="24"/>
        </w:rPr>
        <w:tab/>
      </w:r>
    </w:p>
    <w:p>
      <w:pPr>
        <w:pStyle w:val="2"/>
        <w:spacing w:line="240" w:lineRule="atLeast"/>
        <w:jc w:val="center"/>
        <w:rPr>
          <w:rFonts w:ascii="仿宋" w:hAnsi="仿宋" w:eastAsia="仿宋"/>
          <w:bCs w:val="0"/>
          <w:color w:val="000000" w:themeColor="text1"/>
          <w:sz w:val="36"/>
        </w:rPr>
      </w:pPr>
      <w:bookmarkStart w:id="165" w:name="_Toc17135"/>
      <w:bookmarkStart w:id="166" w:name="PO_默认文件内容_12"/>
      <w:r>
        <w:rPr>
          <w:rFonts w:hint="eastAsia" w:ascii="仿宋" w:hAnsi="仿宋" w:eastAsia="仿宋"/>
          <w:bCs w:val="0"/>
          <w:color w:val="000000" w:themeColor="text1"/>
          <w:sz w:val="36"/>
        </w:rPr>
        <w:t>第五章  评标办法</w:t>
      </w:r>
      <w:bookmarkEnd w:id="164"/>
      <w:bookmarkEnd w:id="165"/>
      <w:bookmarkStart w:id="167" w:name="_Hlt101846155"/>
      <w:bookmarkEnd w:id="167"/>
      <w:bookmarkStart w:id="168" w:name="_Toc183582280"/>
      <w:bookmarkStart w:id="169" w:name="_Toc208849007"/>
      <w:bookmarkStart w:id="170" w:name="_Toc217446097"/>
      <w:bookmarkStart w:id="171" w:name="_Toc183682415"/>
    </w:p>
    <w:p>
      <w:pPr>
        <w:rPr>
          <w:rFonts w:ascii="仿宋" w:hAnsi="仿宋" w:eastAsia="仿宋"/>
          <w:b/>
          <w:color w:val="000000" w:themeColor="text1"/>
          <w:sz w:val="24"/>
        </w:rPr>
      </w:pPr>
      <w:r>
        <w:rPr>
          <w:rFonts w:hint="eastAsia" w:ascii="仿宋" w:hAnsi="仿宋" w:eastAsia="仿宋"/>
          <w:b/>
          <w:color w:val="000000" w:themeColor="text1"/>
          <w:sz w:val="24"/>
        </w:rPr>
        <w:t>1. 总则</w:t>
      </w:r>
      <w:bookmarkEnd w:id="168"/>
      <w:bookmarkEnd w:id="169"/>
      <w:bookmarkEnd w:id="170"/>
      <w:bookmarkEnd w:id="171"/>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1.1</w:t>
      </w:r>
      <w:r>
        <w:rPr>
          <w:rFonts w:ascii="仿宋" w:hAnsi="仿宋" w:eastAsia="仿宋"/>
          <w:color w:val="000000" w:themeColor="text1"/>
          <w:sz w:val="24"/>
        </w:rPr>
        <w:t>招标方将根据招标货物特点组建评标委员会</w:t>
      </w:r>
      <w:r>
        <w:rPr>
          <w:rFonts w:hint="eastAsia" w:ascii="仿宋" w:hAnsi="仿宋" w:eastAsia="仿宋"/>
          <w:color w:val="000000" w:themeColor="text1"/>
          <w:sz w:val="24"/>
        </w:rPr>
        <w:t>，采取综合评分法。</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1.2 评标工作应遵循公平、公正、科学及择优的原则，并以相同的评标程序和标准对待所有的投标人。</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1.3 评标委员会按照招标文件规定的评标方法和标准进行评标，并独立履行下列职责：</w:t>
      </w:r>
    </w:p>
    <w:p>
      <w:pPr>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（1）审查投标文件是否符合招标文件要求，并作出评价；</w:t>
      </w:r>
    </w:p>
    <w:p>
      <w:pPr>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（2）要求投标供应商对投标文件有关事项作出解释或者澄清；</w:t>
      </w:r>
    </w:p>
    <w:p>
      <w:pPr>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（3）推荐中标候选供应商名单，或者受招标人委托按照事先确定的办法直接确定中标供应商；</w:t>
      </w:r>
    </w:p>
    <w:p>
      <w:pPr>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（4）向招标采购单位或者有关部门报告非法干预评标工作的行为。</w:t>
      </w:r>
      <w:bookmarkStart w:id="172" w:name="_Toc217446098"/>
    </w:p>
    <w:p>
      <w:pPr>
        <w:spacing w:line="400" w:lineRule="exact"/>
        <w:ind w:firstLine="482" w:firstLineChars="200"/>
        <w:rPr>
          <w:rFonts w:ascii="仿宋" w:hAnsi="仿宋" w:eastAsia="仿宋"/>
          <w:b/>
          <w:color w:val="000000" w:themeColor="text1"/>
          <w:sz w:val="24"/>
        </w:rPr>
      </w:pPr>
      <w:r>
        <w:rPr>
          <w:rFonts w:hint="eastAsia" w:ascii="仿宋" w:hAnsi="仿宋" w:eastAsia="仿宋"/>
          <w:b/>
          <w:color w:val="000000" w:themeColor="text1"/>
          <w:sz w:val="24"/>
        </w:rPr>
        <w:t>2. 评标程序</w:t>
      </w:r>
      <w:bookmarkEnd w:id="172"/>
    </w:p>
    <w:p>
      <w:pPr>
        <w:spacing w:line="400" w:lineRule="exact"/>
        <w:ind w:firstLine="480"/>
        <w:rPr>
          <w:rFonts w:ascii="仿宋" w:hAnsi="仿宋" w:eastAsia="仿宋"/>
          <w:color w:val="000000" w:themeColor="text1"/>
          <w:sz w:val="24"/>
        </w:rPr>
      </w:pPr>
      <w:bookmarkStart w:id="173" w:name="_Toc217446099"/>
      <w:r>
        <w:rPr>
          <w:rFonts w:hint="eastAsia" w:ascii="仿宋" w:hAnsi="仿宋" w:eastAsia="仿宋"/>
          <w:color w:val="000000" w:themeColor="text1"/>
          <w:sz w:val="24"/>
        </w:rPr>
        <w:t>2.1投标文件初审。初审分为资格性检查和符合性检查。</w:t>
      </w:r>
    </w:p>
    <w:p>
      <w:pPr>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2.1.1资格性检查。依据法律法规和招标文件的规定，对投标文件中的资格证明、投标保证金等进行审查，以确定投标供应商是否具备投标资格。</w:t>
      </w:r>
    </w:p>
    <w:p>
      <w:pPr>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2.1.2符合性检查。依据招标文件的规定，从投标文件的有效性、完整性和对招标文件的响应程度进行审查，以确定是否对招标文件的实质性要求作出响应。</w:t>
      </w:r>
    </w:p>
    <w:p>
      <w:pPr>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2.2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2.3比较与评价。按招标文件中规定的评标方法和标准，对资格性检查和符合性检查合格的投标文件进行商务和技术评估，综合比较与评价。</w:t>
      </w:r>
    </w:p>
    <w:p>
      <w:pPr>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2.4推荐中标候选供应商名单。中标候选供应商数量应当根据采购需要确定，但必须按顺序排列中标候选供应商。</w:t>
      </w:r>
    </w:p>
    <w:p>
      <w:pPr>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2.5编写评标报告。评标报告是评标委员会根据全体评标成员签字的原始评标记录和评标结果编写的报告。</w:t>
      </w:r>
    </w:p>
    <w:p>
      <w:pPr>
        <w:pStyle w:val="3"/>
        <w:spacing w:line="400" w:lineRule="exact"/>
        <w:ind w:firstLine="482"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3. 定标及定标程序</w:t>
      </w:r>
      <w:bookmarkEnd w:id="173"/>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 xml:space="preserve"> 3.1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3.2 招标人在完成评标报告后五个工作日内，按照评标报告中推荐的中标候选人顺序确定中标人。</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注意，招标人按照推荐的中标候选人顺序确定中标人，不能认为招标人只能确定第一中标候选人为中标人，招标人有正当理由的，可以确定后一顺序中标候选人为中标人，依次类推。</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3.3根据招标人确定的中标人，并在重庆交通职业学院官网上发布中标候选人公示，公示期结束后，向中标人发出中标通知书。</w:t>
      </w:r>
    </w:p>
    <w:p>
      <w:pPr>
        <w:spacing w:line="400" w:lineRule="exact"/>
        <w:rPr>
          <w:rFonts w:ascii="仿宋" w:hAnsi="仿宋" w:eastAsia="仿宋"/>
          <w:color w:val="000000" w:themeColor="text1"/>
          <w:sz w:val="24"/>
        </w:rPr>
      </w:pPr>
      <w:bookmarkStart w:id="174" w:name="_Toc217446101"/>
      <w:r>
        <w:rPr>
          <w:rFonts w:hint="eastAsia" w:ascii="仿宋" w:hAnsi="仿宋" w:eastAsia="仿宋"/>
          <w:color w:val="000000" w:themeColor="text1"/>
          <w:sz w:val="24"/>
        </w:rPr>
        <w:t xml:space="preserve">    3</w:t>
      </w:r>
      <w:r>
        <w:rPr>
          <w:rFonts w:ascii="仿宋" w:hAnsi="仿宋" w:eastAsia="仿宋"/>
          <w:color w:val="000000" w:themeColor="text1"/>
          <w:sz w:val="24"/>
        </w:rPr>
        <w:t>.</w:t>
      </w:r>
      <w:r>
        <w:rPr>
          <w:rFonts w:hint="eastAsia" w:ascii="仿宋" w:hAnsi="仿宋" w:eastAsia="仿宋"/>
          <w:color w:val="000000" w:themeColor="text1"/>
          <w:sz w:val="24"/>
        </w:rPr>
        <w:t>4 招标采购单位不解释中标或落标原因，不退回投标文件和其他投标资料。</w:t>
      </w:r>
    </w:p>
    <w:bookmarkEnd w:id="174"/>
    <w:p>
      <w:pPr>
        <w:pStyle w:val="3"/>
        <w:spacing w:line="400" w:lineRule="exact"/>
        <w:ind w:firstLine="482" w:firstLineChars="200"/>
        <w:rPr>
          <w:rFonts w:ascii="仿宋" w:hAnsi="仿宋" w:eastAsia="仿宋"/>
          <w:color w:val="000000" w:themeColor="text1"/>
          <w:sz w:val="24"/>
        </w:rPr>
      </w:pPr>
      <w:bookmarkStart w:id="175" w:name="_Toc217446103"/>
      <w:r>
        <w:rPr>
          <w:rFonts w:hint="eastAsia" w:ascii="仿宋" w:hAnsi="仿宋" w:eastAsia="仿宋"/>
          <w:color w:val="000000" w:themeColor="text1"/>
          <w:sz w:val="24"/>
        </w:rPr>
        <w:t>4. 评标细则及标准（综合评分法）</w:t>
      </w:r>
      <w:bookmarkEnd w:id="175"/>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4.1 本次综合评分的主要因素是：详见综合评分表。</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4.2 除价格因素外，评委会成员应依据投标文件规定的评分标准和方法独立对其他因素进行比较打分。</w:t>
      </w:r>
    </w:p>
    <w:p>
      <w:pPr>
        <w:pStyle w:val="16"/>
        <w:tabs>
          <w:tab w:val="left" w:pos="600"/>
        </w:tabs>
        <w:spacing w:line="40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4.3 在评标过程中，投标文件响应招标文件出现的偏离，分为实质性偏离和非实质性偏离。</w:t>
      </w:r>
    </w:p>
    <w:p>
      <w:pPr>
        <w:pStyle w:val="16"/>
        <w:tabs>
          <w:tab w:val="left" w:pos="600"/>
        </w:tabs>
        <w:spacing w:line="40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4.3.1实质性偏离是指投标文件未能实质响应招标文件的要求。以下情况属于重大偏离：</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（1）未按招标文件要求提交投标保证金；</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（2）投标函、法定代表人授权委托书、开标一览表没有按招标文件的规定和要求签字或盖章；</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（3）投标文件中附有招标人不能接受的条件；</w:t>
      </w:r>
    </w:p>
    <w:p>
      <w:pPr>
        <w:pStyle w:val="16"/>
        <w:tabs>
          <w:tab w:val="left" w:pos="600"/>
        </w:tabs>
        <w:spacing w:line="40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（4）投标产品的技术规格、技术标准明显不符合招标项目的要求；</w:t>
      </w:r>
    </w:p>
    <w:p>
      <w:pPr>
        <w:pStyle w:val="16"/>
        <w:tabs>
          <w:tab w:val="left" w:pos="600"/>
        </w:tabs>
        <w:spacing w:line="40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（5）</w:t>
      </w:r>
      <w:r>
        <w:rPr>
          <w:rFonts w:hint="eastAsia" w:ascii="仿宋" w:hAnsi="仿宋" w:eastAsia="仿宋"/>
          <w:color w:val="000000" w:themeColor="text1"/>
          <w:sz w:val="24"/>
        </w:rPr>
        <w:t>不符合招标文件规定的其他实质性要求。</w:t>
      </w:r>
    </w:p>
    <w:p>
      <w:pPr>
        <w:pStyle w:val="16"/>
        <w:tabs>
          <w:tab w:val="left" w:pos="0"/>
        </w:tabs>
        <w:spacing w:line="40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投标文件有上述情形之一的，作无效投标处理。</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4.3.2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 文字表述的内容含义不明确；</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 同类问题表述不一致；</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 有明显文字和计算错误；</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 提供的技术信息和数据资料不完整；</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 评标委员会认定的其他非实质性偏离。</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w:t>
      </w:r>
      <w:r>
        <w:rPr>
          <w:rFonts w:ascii="仿宋" w:hAnsi="仿宋" w:eastAsia="仿宋"/>
          <w:color w:val="000000" w:themeColor="text1"/>
          <w:sz w:val="24"/>
        </w:rPr>
        <w:t>评标委员会不接受投标人主动提出的澄清</w:t>
      </w:r>
      <w:r>
        <w:rPr>
          <w:rFonts w:hint="eastAsia" w:ascii="仿宋" w:hAnsi="仿宋" w:eastAsia="仿宋"/>
          <w:color w:val="000000" w:themeColor="text1"/>
          <w:sz w:val="24"/>
        </w:rPr>
        <w:t>、</w:t>
      </w:r>
      <w:r>
        <w:rPr>
          <w:rFonts w:ascii="仿宋" w:hAnsi="仿宋" w:eastAsia="仿宋"/>
          <w:color w:val="000000" w:themeColor="text1"/>
          <w:sz w:val="24"/>
        </w:rPr>
        <w:t>说明</w:t>
      </w:r>
      <w:r>
        <w:rPr>
          <w:rFonts w:hint="eastAsia" w:ascii="仿宋" w:hAnsi="仿宋" w:eastAsia="仿宋"/>
          <w:color w:val="000000" w:themeColor="text1"/>
          <w:sz w:val="24"/>
        </w:rPr>
        <w:t>或补正</w:t>
      </w:r>
      <w:r>
        <w:rPr>
          <w:rFonts w:ascii="仿宋" w:hAnsi="仿宋" w:eastAsia="仿宋"/>
          <w:color w:val="000000" w:themeColor="text1"/>
          <w:sz w:val="24"/>
        </w:rPr>
        <w:t>。</w:t>
      </w:r>
    </w:p>
    <w:p>
      <w:pPr>
        <w:pStyle w:val="16"/>
        <w:tabs>
          <w:tab w:val="left" w:pos="600"/>
        </w:tabs>
        <w:spacing w:line="40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4.4 在投标文件初审过程中，如果出现评标委员会成员意见不一致的情况，按照少数服从多数的原则确定。</w:t>
      </w:r>
    </w:p>
    <w:p>
      <w:pPr>
        <w:pStyle w:val="16"/>
        <w:tabs>
          <w:tab w:val="left" w:pos="600"/>
        </w:tabs>
        <w:spacing w:line="40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4.5综合评分明细表</w:t>
      </w:r>
    </w:p>
    <w:p>
      <w:pPr>
        <w:pStyle w:val="16"/>
        <w:tabs>
          <w:tab w:val="left" w:pos="600"/>
        </w:tabs>
        <w:spacing w:line="40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4.5.1综合评分明细表的制定以科学合理、降低评标委员会自由裁量权为原则。</w:t>
      </w:r>
    </w:p>
    <w:p>
      <w:pPr>
        <w:pStyle w:val="16"/>
        <w:tabs>
          <w:tab w:val="left" w:pos="600"/>
        </w:tabs>
        <w:spacing w:line="40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4.5.2综合评分明细表</w:t>
      </w:r>
    </w:p>
    <w:tbl>
      <w:tblPr>
        <w:tblStyle w:val="3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52"/>
        <w:gridCol w:w="578"/>
        <w:gridCol w:w="514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color w:val="000000" w:themeColor="text1"/>
                <w:sz w:val="24"/>
              </w:rPr>
            </w:pPr>
            <w:r>
              <w:rPr>
                <w:rFonts w:hint="eastAsia" w:ascii="仿宋" w:hAnsi="仿宋" w:eastAsia="仿宋"/>
                <w:color w:val="000000" w:themeColor="text1"/>
                <w:sz w:val="24"/>
              </w:rPr>
              <w:t>序号</w:t>
            </w:r>
          </w:p>
        </w:tc>
        <w:tc>
          <w:tcPr>
            <w:tcW w:w="1352" w:type="dxa"/>
            <w:vAlign w:val="center"/>
          </w:tcPr>
          <w:p>
            <w:pPr>
              <w:spacing w:line="400" w:lineRule="exact"/>
              <w:ind w:firstLine="28"/>
              <w:jc w:val="center"/>
              <w:rPr>
                <w:rFonts w:ascii="仿宋" w:hAnsi="仿宋" w:eastAsia="仿宋"/>
                <w:color w:val="000000" w:themeColor="text1"/>
                <w:sz w:val="24"/>
              </w:rPr>
            </w:pPr>
            <w:r>
              <w:rPr>
                <w:rFonts w:hint="eastAsia" w:ascii="仿宋" w:hAnsi="仿宋" w:eastAsia="仿宋"/>
                <w:color w:val="000000" w:themeColor="text1"/>
                <w:sz w:val="24"/>
              </w:rPr>
              <w:t>评分因素</w:t>
            </w:r>
          </w:p>
          <w:p>
            <w:pPr>
              <w:spacing w:line="400" w:lineRule="exact"/>
              <w:ind w:firstLine="28"/>
              <w:jc w:val="center"/>
              <w:rPr>
                <w:rFonts w:ascii="仿宋" w:hAnsi="仿宋" w:eastAsia="仿宋"/>
                <w:color w:val="000000" w:themeColor="text1"/>
                <w:sz w:val="24"/>
              </w:rPr>
            </w:pPr>
            <w:r>
              <w:rPr>
                <w:rFonts w:hint="eastAsia" w:ascii="仿宋" w:hAnsi="仿宋" w:eastAsia="仿宋"/>
                <w:color w:val="000000" w:themeColor="text1"/>
                <w:sz w:val="24"/>
              </w:rPr>
              <w:t>及权重</w:t>
            </w:r>
          </w:p>
        </w:tc>
        <w:tc>
          <w:tcPr>
            <w:tcW w:w="578" w:type="dxa"/>
            <w:vAlign w:val="center"/>
          </w:tcPr>
          <w:p>
            <w:pPr>
              <w:spacing w:line="400" w:lineRule="exact"/>
              <w:ind w:firstLine="28"/>
              <w:jc w:val="center"/>
              <w:rPr>
                <w:rFonts w:ascii="仿宋" w:hAnsi="仿宋" w:eastAsia="仿宋"/>
                <w:color w:val="000000" w:themeColor="text1"/>
                <w:sz w:val="24"/>
              </w:rPr>
            </w:pPr>
            <w:r>
              <w:rPr>
                <w:rFonts w:hint="eastAsia" w:ascii="仿宋" w:hAnsi="仿宋" w:eastAsia="仿宋"/>
                <w:color w:val="000000" w:themeColor="text1"/>
                <w:sz w:val="24"/>
              </w:rPr>
              <w:t>分　值</w:t>
            </w:r>
          </w:p>
        </w:tc>
        <w:tc>
          <w:tcPr>
            <w:tcW w:w="5140" w:type="dxa"/>
            <w:vAlign w:val="center"/>
          </w:tcPr>
          <w:p>
            <w:pPr>
              <w:spacing w:line="400" w:lineRule="exact"/>
              <w:ind w:firstLine="28"/>
              <w:jc w:val="center"/>
              <w:rPr>
                <w:rFonts w:ascii="仿宋" w:hAnsi="仿宋" w:eastAsia="仿宋"/>
                <w:color w:val="000000" w:themeColor="text1"/>
                <w:sz w:val="24"/>
              </w:rPr>
            </w:pPr>
            <w:r>
              <w:rPr>
                <w:rFonts w:hint="eastAsia" w:ascii="仿宋" w:hAnsi="仿宋" w:eastAsia="仿宋"/>
                <w:color w:val="000000" w:themeColor="text1"/>
                <w:sz w:val="24"/>
              </w:rPr>
              <w:t>评分标准</w:t>
            </w:r>
          </w:p>
        </w:tc>
        <w:tc>
          <w:tcPr>
            <w:tcW w:w="920" w:type="dxa"/>
            <w:vAlign w:val="center"/>
          </w:tcPr>
          <w:p>
            <w:pPr>
              <w:spacing w:line="400" w:lineRule="exact"/>
              <w:jc w:val="center"/>
              <w:rPr>
                <w:rFonts w:ascii="仿宋" w:hAnsi="仿宋" w:eastAsia="仿宋"/>
                <w:color w:val="000000" w:themeColor="text1"/>
                <w:sz w:val="24"/>
              </w:rPr>
            </w:pPr>
            <w:r>
              <w:rPr>
                <w:rFonts w:hint="eastAsia" w:ascii="仿宋" w:hAnsi="仿宋" w:eastAsia="仿宋"/>
                <w:color w:val="000000" w:themeColor="text1"/>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color w:val="000000" w:themeColor="text1"/>
                <w:sz w:val="24"/>
              </w:rPr>
            </w:pPr>
            <w:r>
              <w:rPr>
                <w:rFonts w:hint="eastAsia" w:ascii="仿宋" w:hAnsi="仿宋" w:eastAsia="仿宋"/>
                <w:color w:val="000000" w:themeColor="text1"/>
                <w:sz w:val="24"/>
              </w:rPr>
              <w:t>1</w:t>
            </w:r>
          </w:p>
        </w:tc>
        <w:tc>
          <w:tcPr>
            <w:tcW w:w="1352" w:type="dxa"/>
            <w:vAlign w:val="center"/>
          </w:tcPr>
          <w:p>
            <w:pPr>
              <w:spacing w:line="400" w:lineRule="exact"/>
              <w:rPr>
                <w:rFonts w:ascii="仿宋" w:hAnsi="仿宋" w:eastAsia="仿宋"/>
                <w:color w:val="000000" w:themeColor="text1"/>
                <w:sz w:val="24"/>
              </w:rPr>
            </w:pPr>
            <w:r>
              <w:rPr>
                <w:rFonts w:hint="eastAsia" w:ascii="仿宋" w:hAnsi="仿宋" w:eastAsia="仿宋"/>
                <w:color w:val="000000" w:themeColor="text1"/>
                <w:sz w:val="24"/>
              </w:rPr>
              <w:t>报价60%</w:t>
            </w:r>
          </w:p>
        </w:tc>
        <w:tc>
          <w:tcPr>
            <w:tcW w:w="578" w:type="dxa"/>
            <w:vAlign w:val="center"/>
          </w:tcPr>
          <w:p>
            <w:pPr>
              <w:spacing w:line="400" w:lineRule="exact"/>
              <w:jc w:val="center"/>
              <w:rPr>
                <w:rFonts w:ascii="仿宋" w:hAnsi="仿宋" w:eastAsia="仿宋"/>
                <w:color w:val="000000" w:themeColor="text1"/>
                <w:sz w:val="24"/>
              </w:rPr>
            </w:pPr>
            <w:r>
              <w:rPr>
                <w:rFonts w:hint="eastAsia" w:ascii="仿宋" w:hAnsi="仿宋" w:eastAsia="仿宋"/>
                <w:color w:val="000000" w:themeColor="text1"/>
                <w:sz w:val="24"/>
              </w:rPr>
              <w:t>60</w:t>
            </w:r>
          </w:p>
        </w:tc>
        <w:tc>
          <w:tcPr>
            <w:tcW w:w="5140" w:type="dxa"/>
            <w:vAlign w:val="center"/>
          </w:tcPr>
          <w:p>
            <w:pPr>
              <w:spacing w:line="400" w:lineRule="exact"/>
              <w:rPr>
                <w:rFonts w:ascii="仿宋" w:hAnsi="仿宋" w:eastAsia="仿宋"/>
                <w:color w:val="000000" w:themeColor="text1"/>
                <w:sz w:val="24"/>
              </w:rPr>
            </w:pPr>
            <w:r>
              <w:rPr>
                <w:rFonts w:hint="eastAsia" w:ascii="楷体_GB2312" w:hAnsi="Arial"/>
                <w:color w:val="000000" w:themeColor="text1"/>
                <w:sz w:val="24"/>
              </w:rPr>
              <w:t>以</w:t>
            </w:r>
            <w:r>
              <w:rPr>
                <w:rFonts w:hint="eastAsia" w:ascii="楷体_GB2312" w:hAnsi="Arial" w:eastAsia="楷体_GB2312" w:cs="Arial"/>
                <w:snapToGrid w:val="0"/>
                <w:color w:val="000000" w:themeColor="text1"/>
                <w:sz w:val="24"/>
              </w:rPr>
              <w:t>进入评分</w:t>
            </w:r>
            <w:r>
              <w:rPr>
                <w:rFonts w:hint="eastAsia" w:ascii="楷体_GB2312" w:hAnsi="Arial"/>
                <w:color w:val="000000" w:themeColor="text1"/>
                <w:sz w:val="24"/>
              </w:rPr>
              <w:t>的</w:t>
            </w:r>
            <w:r>
              <w:rPr>
                <w:rFonts w:hint="eastAsia" w:ascii="楷体_GB2312" w:hAnsi="Arial" w:eastAsia="楷体_GB2312" w:cs="Arial"/>
                <w:snapToGrid w:val="0"/>
                <w:color w:val="000000" w:themeColor="text1"/>
                <w:sz w:val="24"/>
              </w:rPr>
              <w:t>有效投标人评标价的平均值</w:t>
            </w:r>
            <w:r>
              <w:rPr>
                <w:rFonts w:hint="eastAsia" w:ascii="楷体_GB2312" w:hAnsi="Arial"/>
                <w:color w:val="000000" w:themeColor="text1"/>
                <w:sz w:val="24"/>
              </w:rPr>
              <w:t>为基准价，</w:t>
            </w:r>
            <w:r>
              <w:rPr>
                <w:rFonts w:hint="eastAsia" w:ascii="楷体_GB2312" w:hAnsi="Arial" w:eastAsia="楷体_GB2312" w:cs="Arial"/>
                <w:snapToGrid w:val="0"/>
                <w:color w:val="000000" w:themeColor="text1"/>
                <w:sz w:val="24"/>
              </w:rPr>
              <w:t>得50分，</w:t>
            </w:r>
            <w:r>
              <w:rPr>
                <w:rFonts w:ascii="楷体_GB2312" w:hAnsi="Arial" w:eastAsia="楷体_GB2312" w:cs="Arial"/>
                <w:snapToGrid w:val="0"/>
                <w:color w:val="000000" w:themeColor="text1"/>
                <w:sz w:val="24"/>
              </w:rPr>
              <w:t>其它投标人的</w:t>
            </w:r>
            <w:r>
              <w:rPr>
                <w:rFonts w:hint="eastAsia" w:ascii="楷体_GB2312" w:hAnsi="Arial"/>
                <w:color w:val="000000" w:themeColor="text1"/>
                <w:sz w:val="24"/>
              </w:rPr>
              <w:t>投标报价得分</w:t>
            </w:r>
            <w:r>
              <w:rPr>
                <w:rFonts w:ascii="楷体_GB2312" w:hAnsi="Arial" w:eastAsia="楷体_GB2312" w:cs="Arial"/>
                <w:snapToGrid w:val="0"/>
                <w:color w:val="000000" w:themeColor="text1"/>
                <w:sz w:val="24"/>
              </w:rPr>
              <w:t>＝（</w:t>
            </w:r>
            <w:r>
              <w:rPr>
                <w:rFonts w:ascii="楷体_GB2312" w:hAnsi="Arial"/>
                <w:color w:val="000000" w:themeColor="text1"/>
                <w:sz w:val="24"/>
              </w:rPr>
              <w:t>基准价</w:t>
            </w:r>
            <w:r>
              <w:rPr>
                <w:rFonts w:ascii="楷体_GB2312" w:hAnsi="Arial" w:eastAsia="楷体_GB2312" w:cs="Arial"/>
                <w:snapToGrid w:val="0"/>
                <w:color w:val="000000" w:themeColor="text1"/>
                <w:sz w:val="24"/>
              </w:rPr>
              <w:t>/该投标人的评标价格）×</w:t>
            </w:r>
            <w:r>
              <w:rPr>
                <w:rFonts w:hint="eastAsia" w:ascii="楷体_GB2312" w:hAnsi="Arial" w:eastAsia="楷体_GB2312" w:cs="Arial"/>
                <w:snapToGrid w:val="0"/>
                <w:color w:val="000000" w:themeColor="text1"/>
                <w:sz w:val="24"/>
              </w:rPr>
              <w:t>50，上限最高不超过60，下限无限制；（计算保留小数点后2位）</w:t>
            </w:r>
          </w:p>
        </w:tc>
        <w:tc>
          <w:tcPr>
            <w:tcW w:w="920" w:type="dxa"/>
            <w:vAlign w:val="center"/>
          </w:tcPr>
          <w:p>
            <w:pPr>
              <w:spacing w:line="400" w:lineRule="exact"/>
              <w:ind w:left="-38"/>
              <w:rPr>
                <w:rFonts w:ascii="仿宋" w:hAnsi="仿宋" w:eastAsia="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color w:val="000000" w:themeColor="text1"/>
                <w:sz w:val="24"/>
              </w:rPr>
            </w:pPr>
            <w:r>
              <w:rPr>
                <w:rFonts w:hint="eastAsia" w:ascii="仿宋" w:hAnsi="仿宋" w:eastAsia="仿宋"/>
                <w:color w:val="000000" w:themeColor="text1"/>
                <w:sz w:val="24"/>
              </w:rPr>
              <w:t>2</w:t>
            </w:r>
          </w:p>
        </w:tc>
        <w:tc>
          <w:tcPr>
            <w:tcW w:w="1352" w:type="dxa"/>
            <w:vAlign w:val="center"/>
          </w:tcPr>
          <w:p>
            <w:pPr>
              <w:spacing w:line="400" w:lineRule="exact"/>
              <w:rPr>
                <w:rFonts w:ascii="仿宋" w:hAnsi="仿宋" w:eastAsia="仿宋"/>
                <w:color w:val="000000" w:themeColor="text1"/>
                <w:sz w:val="24"/>
              </w:rPr>
            </w:pPr>
            <w:r>
              <w:rPr>
                <w:rFonts w:hint="eastAsia" w:ascii="仿宋" w:hAnsi="仿宋" w:eastAsia="仿宋"/>
                <w:color w:val="000000" w:themeColor="text1"/>
                <w:sz w:val="24"/>
              </w:rPr>
              <w:t>技术服务</w:t>
            </w:r>
            <w:r>
              <w:rPr>
                <w:rFonts w:hint="eastAsia" w:ascii="仿宋" w:hAnsi="仿宋" w:eastAsia="仿宋"/>
                <w:color w:val="000000" w:themeColor="text1"/>
                <w:sz w:val="24"/>
                <w:lang w:val="en-US" w:eastAsia="zh-CN"/>
              </w:rPr>
              <w:t>内容</w:t>
            </w:r>
            <w:r>
              <w:rPr>
                <w:rFonts w:hint="eastAsia" w:ascii="仿宋" w:hAnsi="仿宋" w:eastAsia="仿宋"/>
                <w:color w:val="000000" w:themeColor="text1"/>
                <w:sz w:val="24"/>
              </w:rPr>
              <w:t>20%</w:t>
            </w:r>
          </w:p>
        </w:tc>
        <w:tc>
          <w:tcPr>
            <w:tcW w:w="578" w:type="dxa"/>
            <w:vAlign w:val="center"/>
          </w:tcPr>
          <w:p>
            <w:pPr>
              <w:spacing w:line="400" w:lineRule="exact"/>
              <w:ind w:firstLine="28"/>
              <w:jc w:val="center"/>
              <w:rPr>
                <w:rFonts w:ascii="仿宋" w:hAnsi="仿宋" w:eastAsia="仿宋"/>
                <w:color w:val="000000" w:themeColor="text1"/>
                <w:sz w:val="24"/>
              </w:rPr>
            </w:pPr>
            <w:r>
              <w:rPr>
                <w:rFonts w:hint="eastAsia" w:ascii="仿宋" w:hAnsi="仿宋" w:eastAsia="仿宋"/>
                <w:color w:val="000000" w:themeColor="text1"/>
                <w:sz w:val="24"/>
              </w:rPr>
              <w:t>20</w:t>
            </w:r>
          </w:p>
        </w:tc>
        <w:tc>
          <w:tcPr>
            <w:tcW w:w="5140" w:type="dxa"/>
            <w:vAlign w:val="center"/>
          </w:tcPr>
          <w:p>
            <w:pPr>
              <w:spacing w:line="400" w:lineRule="exact"/>
              <w:rPr>
                <w:rFonts w:ascii="仿宋" w:hAnsi="仿宋" w:eastAsia="仿宋"/>
                <w:color w:val="000000" w:themeColor="text1"/>
                <w:sz w:val="24"/>
              </w:rPr>
            </w:pPr>
            <w:r>
              <w:rPr>
                <w:rFonts w:hint="eastAsia" w:ascii="仿宋" w:hAnsi="仿宋" w:eastAsia="仿宋"/>
                <w:color w:val="000000" w:themeColor="text1"/>
                <w:sz w:val="24"/>
              </w:rPr>
              <w:t>完全符合招标文件</w:t>
            </w:r>
            <w:r>
              <w:rPr>
                <w:rFonts w:hint="eastAsia" w:ascii="仿宋" w:hAnsi="仿宋" w:eastAsia="仿宋"/>
                <w:color w:val="000000" w:themeColor="text1"/>
                <w:sz w:val="24"/>
                <w:lang w:val="en-US" w:eastAsia="zh-CN"/>
              </w:rPr>
              <w:t>技术服务内容</w:t>
            </w:r>
            <w:r>
              <w:rPr>
                <w:rFonts w:hint="eastAsia" w:ascii="仿宋" w:hAnsi="仿宋" w:eastAsia="仿宋"/>
                <w:color w:val="000000" w:themeColor="text1"/>
                <w:sz w:val="24"/>
              </w:rPr>
              <w:t>(招标文件第</w:t>
            </w:r>
            <w:r>
              <w:rPr>
                <w:rFonts w:hint="eastAsia" w:ascii="仿宋" w:hAnsi="仿宋" w:eastAsia="仿宋"/>
                <w:color w:val="000000" w:themeColor="text1"/>
                <w:sz w:val="24"/>
                <w:lang w:val="en-US" w:eastAsia="zh-CN"/>
              </w:rPr>
              <w:t>四</w:t>
            </w:r>
            <w:r>
              <w:rPr>
                <w:rFonts w:hint="eastAsia" w:ascii="仿宋" w:hAnsi="仿宋" w:eastAsia="仿宋"/>
                <w:color w:val="000000" w:themeColor="text1"/>
                <w:sz w:val="24"/>
              </w:rPr>
              <w:t>章)</w:t>
            </w:r>
            <w:r>
              <w:rPr>
                <w:rFonts w:hint="eastAsia" w:ascii="Arial" w:hAnsi="Arial" w:eastAsia="楷体_GB2312" w:cs="Arial"/>
                <w:iCs/>
                <w:color w:val="000000" w:themeColor="text1"/>
                <w:sz w:val="24"/>
                <w:szCs w:val="24"/>
              </w:rPr>
              <w:t>得18分，文件中的非“★”项每偏离一项扣1分，</w:t>
            </w:r>
            <w:r>
              <w:rPr>
                <w:rFonts w:hint="eastAsia" w:ascii="仿宋" w:hAnsi="仿宋" w:eastAsia="仿宋"/>
                <w:color w:val="000000" w:themeColor="text1"/>
                <w:sz w:val="24"/>
              </w:rPr>
              <w:t>扣完为止。</w:t>
            </w:r>
            <w:r>
              <w:rPr>
                <w:rFonts w:hint="eastAsia" w:ascii="Arial" w:hAnsi="Arial" w:eastAsia="楷体_GB2312" w:cs="Arial"/>
                <w:iCs/>
                <w:color w:val="000000" w:themeColor="text1"/>
                <w:sz w:val="24"/>
                <w:szCs w:val="24"/>
              </w:rPr>
              <w:t>技术文件中功能及要求每优于1项加1分，加满为止；投标人对带“★”的功能及要求的优于项必须在投标文件中提供有效的技术支持资料，否则，评标时可不予认可。</w:t>
            </w:r>
          </w:p>
        </w:tc>
        <w:tc>
          <w:tcPr>
            <w:tcW w:w="920" w:type="dxa"/>
            <w:vAlign w:val="center"/>
          </w:tcPr>
          <w:p>
            <w:pPr>
              <w:spacing w:line="400" w:lineRule="exact"/>
              <w:rPr>
                <w:rFonts w:ascii="仿宋" w:hAnsi="仿宋" w:eastAsia="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color w:val="000000" w:themeColor="text1"/>
                <w:sz w:val="24"/>
              </w:rPr>
            </w:pPr>
            <w:r>
              <w:rPr>
                <w:rFonts w:hint="eastAsia" w:ascii="仿宋" w:hAnsi="仿宋" w:eastAsia="仿宋"/>
                <w:color w:val="000000" w:themeColor="text1"/>
                <w:sz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rPr>
            </w:pPr>
            <w:r>
              <w:rPr>
                <w:rFonts w:hint="eastAsia" w:ascii="Arial" w:hAnsi="Arial" w:eastAsia="楷体_GB2312" w:cs="Arial"/>
                <w:color w:val="000000" w:themeColor="text1"/>
                <w:sz w:val="24"/>
                <w:lang w:val="en-US" w:eastAsia="zh-CN"/>
              </w:rPr>
              <w:t>技术服务目标</w:t>
            </w:r>
            <w:r>
              <w:rPr>
                <w:rFonts w:hint="eastAsia" w:ascii="Arial" w:hAnsi="Arial" w:eastAsia="楷体_GB2312" w:cs="Arial"/>
                <w:color w:val="000000" w:themeColor="text1"/>
                <w:sz w:val="24"/>
              </w:rPr>
              <w:t>10</w:t>
            </w:r>
            <w:r>
              <w:rPr>
                <w:rFonts w:hint="eastAsia" w:ascii="仿宋" w:hAnsi="仿宋" w:eastAsia="仿宋"/>
                <w:color w:val="000000" w:themeColor="text1"/>
                <w:sz w:val="24"/>
              </w:rPr>
              <w:t>%</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rPr>
            </w:pPr>
            <w:r>
              <w:rPr>
                <w:rFonts w:hint="eastAsia" w:ascii="Arial" w:hAnsi="Arial" w:eastAsia="楷体_GB2312" w:cs="Arial"/>
                <w:color w:val="000000" w:themeColor="text1"/>
                <w:sz w:val="24"/>
              </w:rPr>
              <w:t>10</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rPr>
            </w:pPr>
            <w:r>
              <w:rPr>
                <w:rFonts w:hint="eastAsia" w:ascii="Arial" w:hAnsi="Arial" w:eastAsia="楷体_GB2312" w:cs="Arial"/>
                <w:color w:val="000000" w:themeColor="text1"/>
                <w:sz w:val="24"/>
              </w:rPr>
              <w:t>投标人提供的方案必须</w:t>
            </w:r>
            <w:r>
              <w:rPr>
                <w:rFonts w:hint="eastAsia" w:ascii="Arial" w:hAnsi="Arial" w:eastAsia="楷体_GB2312" w:cs="Arial"/>
                <w:color w:val="000000" w:themeColor="text1"/>
                <w:sz w:val="24"/>
                <w:lang w:val="en-US" w:eastAsia="zh-CN"/>
              </w:rPr>
              <w:t>至少满足招标文件技术服务目标</w:t>
            </w:r>
            <w:r>
              <w:rPr>
                <w:rFonts w:hint="eastAsia" w:ascii="Arial" w:hAnsi="Arial" w:eastAsia="楷体_GB2312" w:cs="Arial"/>
                <w:color w:val="000000" w:themeColor="text1"/>
                <w:sz w:val="24"/>
              </w:rPr>
              <w:t>，优秀得10分，良好得8-9分，合格得6-7分，以此类推，不合格得0分；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color w:val="000000" w:themeColor="text1"/>
                <w:sz w:val="24"/>
              </w:rPr>
            </w:pPr>
            <w:r>
              <w:rPr>
                <w:rFonts w:hint="eastAsia" w:ascii="仿宋" w:hAnsi="仿宋" w:eastAsia="仿宋"/>
                <w:color w:val="000000" w:themeColor="text1"/>
                <w:sz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rPr>
            </w:pPr>
            <w:r>
              <w:rPr>
                <w:rFonts w:hint="eastAsia" w:ascii="Arial" w:hAnsi="Arial" w:eastAsia="楷体_GB2312" w:cs="Arial"/>
                <w:color w:val="000000" w:themeColor="text1"/>
                <w:sz w:val="24"/>
              </w:rPr>
              <w:t>后续服务10</w:t>
            </w:r>
            <w:r>
              <w:rPr>
                <w:rFonts w:hint="eastAsia" w:ascii="仿宋" w:hAnsi="仿宋" w:eastAsia="仿宋"/>
                <w:color w:val="000000" w:themeColor="text1"/>
                <w:sz w:val="24"/>
              </w:rPr>
              <w:t>%</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24"/>
              </w:rPr>
            </w:pPr>
            <w:r>
              <w:rPr>
                <w:rFonts w:hint="eastAsia" w:ascii="仿宋" w:hAnsi="仿宋" w:eastAsia="仿宋"/>
                <w:color w:val="000000" w:themeColor="text1"/>
                <w:sz w:val="24"/>
              </w:rPr>
              <w:t>10</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rPr>
            </w:pPr>
            <w:r>
              <w:rPr>
                <w:rFonts w:hint="eastAsia" w:ascii="Arial" w:hAnsi="Arial" w:eastAsia="楷体_GB2312" w:cs="Arial"/>
                <w:color w:val="000000" w:themeColor="text1"/>
                <w:sz w:val="24"/>
              </w:rPr>
              <w:t>满足招标文件要求，得8分；不完全满足上述情况，得6分；完全不满足得0分。优于招标文件要求的，</w:t>
            </w:r>
            <w:r>
              <w:rPr>
                <w:rFonts w:hint="eastAsia" w:ascii="Arial" w:hAnsi="Arial" w:eastAsia="楷体_GB2312" w:cs="Arial"/>
                <w:iCs/>
                <w:color w:val="000000" w:themeColor="text1"/>
                <w:sz w:val="24"/>
                <w:szCs w:val="24"/>
              </w:rPr>
              <w:t>每优于1项加1分，加满为止。</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color w:val="000000" w:themeColor="text1"/>
                <w:sz w:val="24"/>
              </w:rPr>
            </w:pPr>
          </w:p>
        </w:tc>
      </w:tr>
    </w:tbl>
    <w:p>
      <w:pPr>
        <w:pStyle w:val="16"/>
        <w:tabs>
          <w:tab w:val="left" w:pos="600"/>
        </w:tabs>
        <w:spacing w:line="400" w:lineRule="exact"/>
        <w:ind w:firstLine="480" w:firstLineChars="200"/>
        <w:rPr>
          <w:rFonts w:ascii="仿宋" w:hAnsi="仿宋" w:eastAsia="仿宋"/>
          <w:color w:val="000000" w:themeColor="text1"/>
          <w:sz w:val="24"/>
          <w:szCs w:val="24"/>
        </w:rPr>
      </w:pPr>
    </w:p>
    <w:bookmarkEnd w:id="166"/>
    <w:p>
      <w:pPr>
        <w:pStyle w:val="4"/>
        <w:spacing w:line="400" w:lineRule="exact"/>
        <w:ind w:firstLine="482" w:firstLineChars="200"/>
        <w:rPr>
          <w:rFonts w:ascii="仿宋" w:hAnsi="仿宋" w:eastAsia="仿宋"/>
          <w:color w:val="000000" w:themeColor="text1"/>
          <w:sz w:val="24"/>
        </w:rPr>
      </w:pPr>
      <w:bookmarkStart w:id="176" w:name="_Toc183582287"/>
      <w:bookmarkStart w:id="177" w:name="_Toc217446104"/>
      <w:bookmarkStart w:id="178" w:name="_Toc183682422"/>
      <w:bookmarkStart w:id="179" w:name="PO_默认文件内容_11"/>
      <w:r>
        <w:rPr>
          <w:rFonts w:hint="eastAsia" w:ascii="仿宋" w:hAnsi="仿宋" w:eastAsia="仿宋"/>
          <w:bCs/>
          <w:color w:val="000000" w:themeColor="text1"/>
          <w:sz w:val="24"/>
        </w:rPr>
        <w:t>6．计算</w:t>
      </w:r>
      <w:r>
        <w:rPr>
          <w:rFonts w:hint="eastAsia" w:ascii="仿宋" w:hAnsi="仿宋" w:eastAsia="仿宋"/>
          <w:color w:val="000000" w:themeColor="text1"/>
          <w:sz w:val="24"/>
        </w:rPr>
        <w:t>错误的修改</w:t>
      </w:r>
      <w:bookmarkEnd w:id="176"/>
      <w:bookmarkEnd w:id="177"/>
      <w:bookmarkEnd w:id="178"/>
    </w:p>
    <w:p>
      <w:pPr>
        <w:widowControl/>
        <w:autoSpaceDE w:val="0"/>
        <w:autoSpaceDN w:val="0"/>
        <w:spacing w:line="400" w:lineRule="exact"/>
        <w:ind w:right="53" w:firstLine="480" w:firstLineChars="200"/>
        <w:textAlignment w:val="bottom"/>
        <w:rPr>
          <w:rFonts w:ascii="仿宋" w:hAnsi="仿宋" w:eastAsia="仿宋"/>
          <w:color w:val="000000" w:themeColor="text1"/>
          <w:sz w:val="24"/>
        </w:rPr>
      </w:pPr>
      <w:r>
        <w:rPr>
          <w:rFonts w:hint="eastAsia" w:ascii="仿宋" w:hAnsi="仿宋" w:eastAsia="仿宋"/>
          <w:color w:val="000000" w:themeColor="text1"/>
          <w:sz w:val="24"/>
        </w:rPr>
        <w:t>6.1 投标文件中如果出现计算上或累加上的算术错误，可按以下原则进行修改：</w:t>
      </w:r>
    </w:p>
    <w:p>
      <w:pPr>
        <w:widowControl/>
        <w:autoSpaceDE w:val="0"/>
        <w:autoSpaceDN w:val="0"/>
        <w:spacing w:line="400" w:lineRule="exact"/>
        <w:ind w:right="53" w:firstLine="480" w:firstLineChars="200"/>
        <w:textAlignment w:val="bottom"/>
        <w:rPr>
          <w:rFonts w:ascii="仿宋" w:hAnsi="仿宋" w:eastAsia="仿宋"/>
          <w:color w:val="000000" w:themeColor="text1"/>
          <w:sz w:val="24"/>
        </w:rPr>
      </w:pPr>
      <w:r>
        <w:rPr>
          <w:rFonts w:hint="eastAsia" w:ascii="仿宋" w:hAnsi="仿宋" w:eastAsia="仿宋"/>
          <w:color w:val="000000" w:themeColor="text1"/>
          <w:sz w:val="24"/>
        </w:rPr>
        <w:t>（1）用数字表示的金额和用文字表示的金额不一致，应以文字表示的金额为准。</w:t>
      </w:r>
    </w:p>
    <w:p>
      <w:pPr>
        <w:widowControl/>
        <w:autoSpaceDE w:val="0"/>
        <w:autoSpaceDN w:val="0"/>
        <w:spacing w:line="400" w:lineRule="exact"/>
        <w:ind w:right="53" w:firstLine="480" w:firstLineChars="200"/>
        <w:textAlignment w:val="bottom"/>
        <w:rPr>
          <w:rFonts w:ascii="仿宋" w:hAnsi="仿宋" w:eastAsia="仿宋"/>
          <w:color w:val="000000" w:themeColor="text1"/>
          <w:sz w:val="24"/>
        </w:rPr>
      </w:pPr>
      <w:r>
        <w:rPr>
          <w:rFonts w:hint="eastAsia" w:ascii="仿宋" w:hAnsi="仿宋" w:eastAsia="仿宋"/>
          <w:color w:val="000000" w:themeColor="text1"/>
          <w:sz w:val="24"/>
        </w:rPr>
        <w:t>（2）单价和数量的乘积与总价不一致时，以单价为准，并修正总价。</w:t>
      </w:r>
    </w:p>
    <w:p>
      <w:pPr>
        <w:widowControl/>
        <w:autoSpaceDE w:val="0"/>
        <w:autoSpaceDN w:val="0"/>
        <w:spacing w:line="400" w:lineRule="exact"/>
        <w:ind w:right="53" w:firstLine="480" w:firstLineChars="200"/>
        <w:textAlignment w:val="bottom"/>
        <w:rPr>
          <w:rFonts w:ascii="仿宋" w:hAnsi="仿宋" w:eastAsia="仿宋"/>
          <w:color w:val="000000" w:themeColor="text1"/>
          <w:sz w:val="24"/>
        </w:rPr>
      </w:pPr>
      <w:r>
        <w:rPr>
          <w:rFonts w:hint="eastAsia" w:ascii="仿宋" w:hAnsi="仿宋" w:eastAsia="仿宋"/>
          <w:color w:val="000000" w:themeColor="text1"/>
          <w:sz w:val="24"/>
        </w:rPr>
        <w:t>（3）单价金额小数点有明显错误的，以总价为准，修正单价。</w:t>
      </w:r>
    </w:p>
    <w:p>
      <w:pPr>
        <w:widowControl/>
        <w:autoSpaceDE w:val="0"/>
        <w:autoSpaceDN w:val="0"/>
        <w:spacing w:line="400" w:lineRule="exact"/>
        <w:ind w:right="53" w:firstLine="480" w:firstLineChars="200"/>
        <w:textAlignment w:val="bottom"/>
        <w:rPr>
          <w:rFonts w:ascii="仿宋" w:hAnsi="仿宋" w:eastAsia="仿宋"/>
          <w:color w:val="000000" w:themeColor="text1"/>
          <w:sz w:val="24"/>
        </w:rPr>
      </w:pPr>
      <w:r>
        <w:rPr>
          <w:rFonts w:hint="eastAsia" w:ascii="仿宋" w:hAnsi="仿宋" w:eastAsia="仿宋"/>
          <w:color w:val="000000" w:themeColor="text1"/>
          <w:sz w:val="24"/>
        </w:rPr>
        <w:t>6.2  按上述修正错误的方法调整的投标报价应对投标人具有约束力。如果投标人不接受修正后的价格，其投标将被拒绝。</w:t>
      </w:r>
    </w:p>
    <w:p>
      <w:pPr>
        <w:pStyle w:val="3"/>
        <w:spacing w:line="400" w:lineRule="exact"/>
        <w:ind w:firstLine="482" w:firstLineChars="200"/>
        <w:rPr>
          <w:rFonts w:ascii="仿宋" w:hAnsi="仿宋" w:eastAsia="仿宋"/>
          <w:bCs w:val="0"/>
          <w:color w:val="000000" w:themeColor="text1"/>
          <w:sz w:val="24"/>
          <w:szCs w:val="24"/>
        </w:rPr>
      </w:pPr>
      <w:bookmarkStart w:id="180" w:name="_Toc217446105"/>
      <w:bookmarkStart w:id="181" w:name="_Toc183682432"/>
      <w:bookmarkStart w:id="182" w:name="_Toc208849022"/>
      <w:bookmarkStart w:id="183" w:name="_Toc183582297"/>
      <w:r>
        <w:rPr>
          <w:rFonts w:hint="eastAsia" w:ascii="仿宋" w:hAnsi="仿宋" w:eastAsia="仿宋"/>
          <w:bCs w:val="0"/>
          <w:color w:val="000000" w:themeColor="text1"/>
          <w:sz w:val="24"/>
          <w:szCs w:val="24"/>
        </w:rPr>
        <w:t xml:space="preserve">7. </w:t>
      </w:r>
      <w:bookmarkEnd w:id="180"/>
      <w:bookmarkEnd w:id="181"/>
      <w:bookmarkEnd w:id="182"/>
      <w:bookmarkEnd w:id="183"/>
      <w:r>
        <w:rPr>
          <w:rFonts w:hint="eastAsia" w:ascii="仿宋" w:hAnsi="仿宋" w:eastAsia="仿宋"/>
          <w:color w:val="000000" w:themeColor="text1"/>
          <w:sz w:val="24"/>
          <w:szCs w:val="24"/>
        </w:rPr>
        <w:t>评标专家在</w:t>
      </w:r>
      <w:r>
        <w:rPr>
          <w:rFonts w:hint="eastAsia" w:ascii="仿宋" w:hAnsi="仿宋" w:eastAsia="仿宋"/>
          <w:color w:val="000000" w:themeColor="text1"/>
          <w:sz w:val="24"/>
        </w:rPr>
        <w:t>招标采购活动</w:t>
      </w:r>
      <w:r>
        <w:rPr>
          <w:rFonts w:hint="eastAsia" w:ascii="仿宋" w:hAnsi="仿宋" w:eastAsia="仿宋"/>
          <w:color w:val="000000" w:themeColor="text1"/>
          <w:sz w:val="24"/>
          <w:szCs w:val="24"/>
        </w:rPr>
        <w:t>中承担以下义务：</w:t>
      </w:r>
    </w:p>
    <w:p>
      <w:pPr>
        <w:widowControl/>
        <w:autoSpaceDE w:val="0"/>
        <w:autoSpaceDN w:val="0"/>
        <w:spacing w:line="400" w:lineRule="exact"/>
        <w:ind w:right="53" w:firstLine="480" w:firstLineChars="200"/>
        <w:textAlignment w:val="bottom"/>
        <w:rPr>
          <w:rFonts w:ascii="仿宋" w:hAnsi="仿宋" w:eastAsia="仿宋"/>
          <w:color w:val="000000" w:themeColor="text1"/>
          <w:sz w:val="24"/>
        </w:rPr>
      </w:pPr>
      <w:r>
        <w:rPr>
          <w:rFonts w:hint="eastAsia" w:ascii="仿宋" w:hAnsi="仿宋" w:eastAsia="仿宋"/>
          <w:color w:val="000000" w:themeColor="text1"/>
          <w:sz w:val="24"/>
        </w:rPr>
        <w:t>7.1 遵纪守法，客观、公正、廉洁地履行职责。</w:t>
      </w:r>
    </w:p>
    <w:p>
      <w:pPr>
        <w:widowControl/>
        <w:autoSpaceDE w:val="0"/>
        <w:autoSpaceDN w:val="0"/>
        <w:spacing w:line="400" w:lineRule="exact"/>
        <w:ind w:right="53" w:firstLine="480" w:firstLineChars="200"/>
        <w:textAlignment w:val="bottom"/>
        <w:rPr>
          <w:rFonts w:ascii="仿宋" w:hAnsi="仿宋" w:eastAsia="仿宋"/>
          <w:color w:val="000000" w:themeColor="text1"/>
          <w:sz w:val="24"/>
        </w:rPr>
      </w:pPr>
      <w:r>
        <w:rPr>
          <w:rFonts w:hint="eastAsia" w:ascii="仿宋" w:hAnsi="仿宋" w:eastAsia="仿宋"/>
          <w:color w:val="000000" w:themeColor="text1"/>
          <w:sz w:val="24"/>
        </w:rPr>
        <w:t>7.2 按照采购文件的规定要求对供应商的资格条件和供应商提供的产品价格、技术、服务等方面严格进行评判，</w:t>
      </w:r>
      <w:r>
        <w:rPr>
          <w:rFonts w:ascii="仿宋" w:hAnsi="仿宋" w:eastAsia="仿宋"/>
          <w:color w:val="000000" w:themeColor="text1"/>
          <w:sz w:val="24"/>
        </w:rPr>
        <w:t>提供</w:t>
      </w:r>
      <w:r>
        <w:rPr>
          <w:rFonts w:hint="eastAsia" w:ascii="仿宋" w:hAnsi="仿宋" w:eastAsia="仿宋"/>
          <w:color w:val="000000" w:themeColor="text1"/>
          <w:sz w:val="24"/>
        </w:rPr>
        <w:t>科学合理、公平公正</w:t>
      </w:r>
      <w:r>
        <w:rPr>
          <w:rFonts w:ascii="仿宋" w:hAnsi="仿宋" w:eastAsia="仿宋"/>
          <w:color w:val="000000" w:themeColor="text1"/>
          <w:sz w:val="24"/>
        </w:rPr>
        <w:t>的评审意见</w:t>
      </w:r>
      <w:r>
        <w:rPr>
          <w:rFonts w:hint="eastAsia" w:ascii="仿宋" w:hAnsi="仿宋" w:eastAsia="仿宋"/>
          <w:color w:val="000000" w:themeColor="text1"/>
          <w:sz w:val="24"/>
        </w:rPr>
        <w:t>，参与起草评审报告，并予签字确认。</w:t>
      </w:r>
    </w:p>
    <w:p>
      <w:pPr>
        <w:widowControl/>
        <w:autoSpaceDE w:val="0"/>
        <w:autoSpaceDN w:val="0"/>
        <w:spacing w:line="400" w:lineRule="exact"/>
        <w:ind w:right="53" w:firstLine="480" w:firstLineChars="200"/>
        <w:textAlignment w:val="bottom"/>
        <w:rPr>
          <w:rFonts w:ascii="仿宋" w:hAnsi="仿宋" w:eastAsia="仿宋"/>
          <w:color w:val="000000" w:themeColor="text1"/>
          <w:sz w:val="24"/>
        </w:rPr>
      </w:pPr>
      <w:r>
        <w:rPr>
          <w:rFonts w:hint="eastAsia" w:ascii="仿宋" w:hAnsi="仿宋" w:eastAsia="仿宋"/>
          <w:color w:val="000000" w:themeColor="text1"/>
          <w:sz w:val="24"/>
        </w:rPr>
        <w:t>7.3 保守秘密。不得透露采购文件咨询情况，不得泄漏供应商的投标文件及知悉的商业秘密，不得向供应商透露评审情况。</w:t>
      </w:r>
    </w:p>
    <w:p>
      <w:pPr>
        <w:pStyle w:val="3"/>
        <w:spacing w:line="400" w:lineRule="exact"/>
        <w:ind w:firstLine="482" w:firstLineChars="200"/>
        <w:rPr>
          <w:rFonts w:ascii="仿宋" w:hAnsi="仿宋" w:eastAsia="仿宋"/>
          <w:bCs w:val="0"/>
          <w:color w:val="000000" w:themeColor="text1"/>
          <w:sz w:val="24"/>
          <w:szCs w:val="24"/>
        </w:rPr>
      </w:pPr>
      <w:r>
        <w:rPr>
          <w:rFonts w:hint="eastAsia" w:ascii="仿宋" w:hAnsi="仿宋" w:eastAsia="仿宋"/>
          <w:bCs w:val="0"/>
          <w:color w:val="000000" w:themeColor="text1"/>
          <w:sz w:val="24"/>
          <w:szCs w:val="24"/>
        </w:rPr>
        <w:t>8.重新招标或终止招标</w:t>
      </w:r>
    </w:p>
    <w:p>
      <w:pPr>
        <w:widowControl/>
        <w:autoSpaceDE w:val="0"/>
        <w:autoSpaceDN w:val="0"/>
        <w:spacing w:line="400" w:lineRule="exact"/>
        <w:ind w:right="53" w:firstLine="480" w:firstLineChars="200"/>
        <w:textAlignment w:val="bottom"/>
        <w:rPr>
          <w:rFonts w:ascii="仿宋" w:hAnsi="仿宋" w:eastAsia="仿宋"/>
          <w:color w:val="000000" w:themeColor="text1"/>
          <w:sz w:val="24"/>
        </w:rPr>
      </w:pPr>
      <w:r>
        <w:rPr>
          <w:rFonts w:hint="eastAsia" w:ascii="仿宋" w:hAnsi="仿宋" w:eastAsia="仿宋"/>
          <w:color w:val="000000" w:themeColor="text1"/>
          <w:sz w:val="24"/>
        </w:rPr>
        <w:t>本次招标活动中，出现下列情形之一的，予以重新招标或终止招标：</w:t>
      </w:r>
    </w:p>
    <w:p>
      <w:pPr>
        <w:widowControl/>
        <w:autoSpaceDE w:val="0"/>
        <w:autoSpaceDN w:val="0"/>
        <w:spacing w:line="400" w:lineRule="exact"/>
        <w:ind w:right="53" w:firstLine="480" w:firstLineChars="200"/>
        <w:textAlignment w:val="bottom"/>
        <w:rPr>
          <w:rFonts w:ascii="仿宋" w:hAnsi="仿宋" w:eastAsia="仿宋"/>
          <w:color w:val="000000" w:themeColor="text1"/>
          <w:sz w:val="24"/>
        </w:rPr>
      </w:pPr>
      <w:r>
        <w:rPr>
          <w:rFonts w:hint="eastAsia" w:ascii="仿宋" w:hAnsi="仿宋" w:eastAsia="仿宋"/>
          <w:color w:val="000000" w:themeColor="text1"/>
          <w:sz w:val="24"/>
        </w:rPr>
        <w:t>（1）所有投标都不符合招标文件要求，并被全部否决的；</w:t>
      </w:r>
    </w:p>
    <w:p>
      <w:pPr>
        <w:widowControl/>
        <w:autoSpaceDE w:val="0"/>
        <w:autoSpaceDN w:val="0"/>
        <w:spacing w:line="400" w:lineRule="exact"/>
        <w:ind w:right="53" w:firstLine="480" w:firstLineChars="200"/>
        <w:textAlignment w:val="bottom"/>
        <w:rPr>
          <w:rFonts w:ascii="仿宋" w:hAnsi="仿宋" w:eastAsia="仿宋"/>
          <w:color w:val="000000" w:themeColor="text1"/>
          <w:sz w:val="24"/>
        </w:rPr>
      </w:pPr>
      <w:r>
        <w:rPr>
          <w:rFonts w:hint="eastAsia" w:ascii="仿宋" w:hAnsi="仿宋" w:eastAsia="仿宋"/>
          <w:color w:val="000000" w:themeColor="text1"/>
          <w:sz w:val="24"/>
        </w:rPr>
        <w:t>（2）出现影响招标采购公正的违法、违规行为的；</w:t>
      </w:r>
    </w:p>
    <w:p>
      <w:pPr>
        <w:widowControl/>
        <w:autoSpaceDE w:val="0"/>
        <w:autoSpaceDN w:val="0"/>
        <w:spacing w:line="400" w:lineRule="exact"/>
        <w:ind w:right="53" w:firstLine="480" w:firstLineChars="200"/>
        <w:textAlignment w:val="bottom"/>
        <w:rPr>
          <w:rFonts w:ascii="仿宋" w:hAnsi="仿宋" w:eastAsia="仿宋"/>
          <w:color w:val="000000" w:themeColor="text1"/>
          <w:sz w:val="24"/>
        </w:rPr>
      </w:pPr>
      <w:r>
        <w:rPr>
          <w:rFonts w:hint="eastAsia" w:ascii="仿宋" w:hAnsi="仿宋" w:eastAsia="仿宋"/>
          <w:color w:val="000000" w:themeColor="text1"/>
          <w:sz w:val="24"/>
        </w:rPr>
        <w:t>（3）因重大变故，招标采购任务取消的；</w:t>
      </w:r>
    </w:p>
    <w:p>
      <w:pPr>
        <w:widowControl/>
        <w:autoSpaceDE w:val="0"/>
        <w:autoSpaceDN w:val="0"/>
        <w:spacing w:line="400" w:lineRule="exact"/>
        <w:ind w:right="53" w:firstLine="480" w:firstLineChars="200"/>
        <w:textAlignment w:val="bottom"/>
        <w:rPr>
          <w:rFonts w:ascii="仿宋" w:hAnsi="仿宋" w:eastAsia="仿宋"/>
          <w:color w:val="000000" w:themeColor="text1"/>
          <w:sz w:val="24"/>
        </w:rPr>
        <w:sectPr>
          <w:pgSz w:w="11906" w:h="16838"/>
          <w:pgMar w:top="1440" w:right="1800" w:bottom="1440" w:left="1800" w:header="851" w:footer="992" w:gutter="0"/>
          <w:cols w:space="720" w:num="1"/>
          <w:docGrid w:type="lines" w:linePitch="312" w:charSpace="0"/>
        </w:sectPr>
      </w:pPr>
      <w:r>
        <w:rPr>
          <w:rFonts w:hint="eastAsia" w:ascii="仿宋" w:hAnsi="仿宋" w:eastAsia="仿宋"/>
          <w:color w:val="000000" w:themeColor="text1"/>
          <w:sz w:val="24"/>
        </w:rPr>
        <w:t>重新招标或终止招标的，招标采购单位应在重庆交通职业学院官网上公告，并公告详细理由。</w:t>
      </w:r>
      <w:bookmarkEnd w:id="179"/>
      <w:bookmarkStart w:id="184" w:name="PO_默认文件内容_45"/>
    </w:p>
    <w:tbl>
      <w:tblPr>
        <w:tblStyle w:val="31"/>
        <w:tblW w:w="14314" w:type="dxa"/>
        <w:tblInd w:w="0" w:type="dxa"/>
        <w:tblLayout w:type="fixed"/>
        <w:tblCellMar>
          <w:top w:w="15" w:type="dxa"/>
          <w:left w:w="15" w:type="dxa"/>
          <w:bottom w:w="15" w:type="dxa"/>
          <w:right w:w="15" w:type="dxa"/>
        </w:tblCellMar>
      </w:tblPr>
      <w:tblGrid>
        <w:gridCol w:w="14314"/>
      </w:tblGrid>
      <w:tr>
        <w:tblPrEx>
          <w:tblCellMar>
            <w:top w:w="15" w:type="dxa"/>
            <w:left w:w="15" w:type="dxa"/>
            <w:bottom w:w="15" w:type="dxa"/>
            <w:right w:w="15" w:type="dxa"/>
          </w:tblCellMar>
        </w:tblPrEx>
        <w:trPr>
          <w:trHeight w:val="898" w:hRule="atLeast"/>
        </w:trPr>
        <w:tc>
          <w:tcPr>
            <w:tcW w:w="14314" w:type="dxa"/>
            <w:vAlign w:val="bottom"/>
          </w:tcPr>
          <w:p>
            <w:pPr>
              <w:widowControl/>
              <w:jc w:val="left"/>
              <w:rPr>
                <w:rFonts w:ascii="仿宋" w:hAnsi="仿宋" w:eastAsia="仿宋"/>
                <w:b/>
                <w:bCs/>
                <w:color w:val="000000" w:themeColor="text1"/>
                <w:sz w:val="24"/>
                <w:szCs w:val="24"/>
              </w:rPr>
            </w:pPr>
            <w:r>
              <w:rPr>
                <w:rFonts w:hint="eastAsia" w:ascii="仿宋" w:hAnsi="仿宋" w:eastAsia="仿宋" w:cs="仿宋"/>
                <w:b/>
                <w:bCs/>
                <w:color w:val="000000" w:themeColor="text1"/>
                <w:sz w:val="24"/>
                <w:szCs w:val="24"/>
              </w:rPr>
              <w:t>附件二：</w:t>
            </w:r>
            <w:r>
              <w:rPr>
                <w:rFonts w:hint="eastAsia" w:ascii="仿宋" w:hAnsi="仿宋"/>
                <w:b/>
                <w:color w:val="000000" w:themeColor="text1"/>
                <w:sz w:val="24"/>
              </w:rPr>
              <w:t>递交投标文件签收表</w:t>
            </w:r>
          </w:p>
          <w:tbl>
            <w:tblPr>
              <w:tblStyle w:val="31"/>
              <w:tblW w:w="12568" w:type="dxa"/>
              <w:tblInd w:w="2" w:type="dxa"/>
              <w:tblLayout w:type="fixed"/>
              <w:tblCellMar>
                <w:top w:w="15" w:type="dxa"/>
                <w:left w:w="15" w:type="dxa"/>
                <w:bottom w:w="15" w:type="dxa"/>
                <w:right w:w="15" w:type="dxa"/>
              </w:tblCellMar>
            </w:tblPr>
            <w:tblGrid>
              <w:gridCol w:w="1129"/>
              <w:gridCol w:w="1955"/>
              <w:gridCol w:w="1502"/>
              <w:gridCol w:w="2550"/>
              <w:gridCol w:w="1445"/>
              <w:gridCol w:w="2036"/>
              <w:gridCol w:w="1951"/>
            </w:tblGrid>
            <w:tr>
              <w:tblPrEx>
                <w:tblCellMar>
                  <w:top w:w="15" w:type="dxa"/>
                  <w:left w:w="15" w:type="dxa"/>
                  <w:bottom w:w="15" w:type="dxa"/>
                  <w:right w:w="15" w:type="dxa"/>
                </w:tblCellMar>
              </w:tblPrEx>
              <w:trPr>
                <w:gridAfter w:val="2"/>
                <w:wAfter w:w="3987" w:type="dxa"/>
                <w:trHeight w:val="463" w:hRule="atLeast"/>
              </w:trPr>
              <w:tc>
                <w:tcPr>
                  <w:tcW w:w="1129" w:type="dxa"/>
                  <w:vAlign w:val="center"/>
                </w:tcPr>
                <w:p>
                  <w:pPr>
                    <w:widowControl/>
                    <w:jc w:val="left"/>
                    <w:textAlignment w:val="center"/>
                    <w:rPr>
                      <w:rFonts w:hAnsi="宋体"/>
                      <w:b/>
                      <w:bCs/>
                      <w:color w:val="000000" w:themeColor="text1"/>
                      <w:sz w:val="20"/>
                    </w:rPr>
                  </w:pPr>
                  <w:r>
                    <w:rPr>
                      <w:rFonts w:hint="eastAsia" w:hAnsi="宋体" w:cs="宋体"/>
                      <w:b/>
                      <w:bCs/>
                      <w:color w:val="000000" w:themeColor="text1"/>
                      <w:sz w:val="20"/>
                    </w:rPr>
                    <w:t>项目名称：</w:t>
                  </w:r>
                </w:p>
              </w:tc>
              <w:tc>
                <w:tcPr>
                  <w:tcW w:w="6007" w:type="dxa"/>
                  <w:gridSpan w:val="3"/>
                  <w:vAlign w:val="center"/>
                </w:tcPr>
                <w:p>
                  <w:pPr>
                    <w:jc w:val="left"/>
                    <w:rPr>
                      <w:rFonts w:hAnsi="宋体"/>
                      <w:b/>
                      <w:bCs/>
                      <w:color w:val="000000" w:themeColor="text1"/>
                      <w:sz w:val="20"/>
                    </w:rPr>
                  </w:pPr>
                </w:p>
              </w:tc>
              <w:tc>
                <w:tcPr>
                  <w:tcW w:w="1445" w:type="dxa"/>
                  <w:vAlign w:val="center"/>
                </w:tcPr>
                <w:p>
                  <w:pPr>
                    <w:widowControl/>
                    <w:jc w:val="right"/>
                    <w:textAlignment w:val="center"/>
                    <w:rPr>
                      <w:rFonts w:hAnsi="宋体"/>
                      <w:b/>
                      <w:bCs/>
                      <w:color w:val="000000" w:themeColor="text1"/>
                      <w:sz w:val="20"/>
                    </w:rPr>
                  </w:pPr>
                  <w:r>
                    <w:rPr>
                      <w:rFonts w:hint="eastAsia" w:hAnsi="宋体" w:cs="宋体"/>
                      <w:b/>
                      <w:bCs/>
                      <w:color w:val="000000" w:themeColor="text1"/>
                      <w:sz w:val="20"/>
                    </w:rPr>
                    <w:t>招标编号：</w:t>
                  </w:r>
                </w:p>
              </w:tc>
            </w:tr>
            <w:tr>
              <w:tblPrEx>
                <w:tblCellMar>
                  <w:top w:w="15" w:type="dxa"/>
                  <w:left w:w="15" w:type="dxa"/>
                  <w:bottom w:w="15" w:type="dxa"/>
                  <w:right w:w="15" w:type="dxa"/>
                </w:tblCellMar>
              </w:tblPrEx>
              <w:trPr>
                <w:gridAfter w:val="2"/>
                <w:wAfter w:w="3987" w:type="dxa"/>
                <w:trHeight w:val="463" w:hRule="atLeast"/>
              </w:trPr>
              <w:tc>
                <w:tcPr>
                  <w:tcW w:w="1129" w:type="dxa"/>
                  <w:tcBorders>
                    <w:bottom w:val="single" w:color="000000" w:sz="12" w:space="0"/>
                  </w:tcBorders>
                  <w:vAlign w:val="center"/>
                </w:tcPr>
                <w:p>
                  <w:pPr>
                    <w:widowControl/>
                    <w:jc w:val="left"/>
                    <w:textAlignment w:val="center"/>
                    <w:rPr>
                      <w:rFonts w:hAnsi="宋体"/>
                      <w:b/>
                      <w:bCs/>
                      <w:color w:val="000000" w:themeColor="text1"/>
                      <w:sz w:val="20"/>
                    </w:rPr>
                  </w:pPr>
                  <w:r>
                    <w:rPr>
                      <w:rFonts w:hint="eastAsia" w:hAnsi="宋体" w:cs="宋体"/>
                      <w:b/>
                      <w:bCs/>
                      <w:color w:val="000000" w:themeColor="text1"/>
                      <w:sz w:val="20"/>
                    </w:rPr>
                    <w:t>开标时间：</w:t>
                  </w:r>
                </w:p>
              </w:tc>
              <w:tc>
                <w:tcPr>
                  <w:tcW w:w="1955" w:type="dxa"/>
                  <w:tcBorders>
                    <w:bottom w:val="single" w:color="000000" w:sz="12" w:space="0"/>
                  </w:tcBorders>
                  <w:vAlign w:val="center"/>
                </w:tcPr>
                <w:p>
                  <w:pPr>
                    <w:rPr>
                      <w:rFonts w:hAnsi="宋体"/>
                      <w:b/>
                      <w:bCs/>
                      <w:color w:val="000000" w:themeColor="text1"/>
                      <w:sz w:val="20"/>
                    </w:rPr>
                  </w:pPr>
                </w:p>
              </w:tc>
              <w:tc>
                <w:tcPr>
                  <w:tcW w:w="1502" w:type="dxa"/>
                  <w:tcBorders>
                    <w:bottom w:val="single" w:color="000000" w:sz="12" w:space="0"/>
                  </w:tcBorders>
                  <w:vAlign w:val="center"/>
                </w:tcPr>
                <w:p>
                  <w:pPr>
                    <w:rPr>
                      <w:rFonts w:hAnsi="宋体"/>
                      <w:b/>
                      <w:bCs/>
                      <w:color w:val="000000" w:themeColor="text1"/>
                      <w:sz w:val="20"/>
                    </w:rPr>
                  </w:pPr>
                </w:p>
              </w:tc>
              <w:tc>
                <w:tcPr>
                  <w:tcW w:w="2550" w:type="dxa"/>
                  <w:tcBorders>
                    <w:bottom w:val="single" w:color="000000" w:sz="12" w:space="0"/>
                  </w:tcBorders>
                  <w:vAlign w:val="center"/>
                </w:tcPr>
                <w:p>
                  <w:pPr>
                    <w:rPr>
                      <w:rFonts w:hAnsi="宋体"/>
                      <w:color w:val="000000" w:themeColor="text1"/>
                      <w:sz w:val="20"/>
                    </w:rPr>
                  </w:pPr>
                </w:p>
              </w:tc>
              <w:tc>
                <w:tcPr>
                  <w:tcW w:w="1445" w:type="dxa"/>
                  <w:tcBorders>
                    <w:bottom w:val="single" w:color="000000" w:sz="12" w:space="0"/>
                  </w:tcBorders>
                  <w:vAlign w:val="center"/>
                </w:tcPr>
                <w:p>
                  <w:pPr>
                    <w:widowControl/>
                    <w:jc w:val="right"/>
                    <w:textAlignment w:val="center"/>
                    <w:rPr>
                      <w:rFonts w:hAnsi="宋体"/>
                      <w:b/>
                      <w:bCs/>
                      <w:color w:val="000000" w:themeColor="text1"/>
                      <w:sz w:val="20"/>
                    </w:rPr>
                  </w:pPr>
                  <w:r>
                    <w:rPr>
                      <w:rFonts w:hint="eastAsia" w:hAnsi="宋体" w:cs="宋体"/>
                      <w:b/>
                      <w:bCs/>
                      <w:color w:val="000000" w:themeColor="text1"/>
                      <w:sz w:val="20"/>
                    </w:rPr>
                    <w:t>开标地点：</w:t>
                  </w:r>
                </w:p>
              </w:tc>
            </w:tr>
            <w:tr>
              <w:tblPrEx>
                <w:tblCellMar>
                  <w:top w:w="15" w:type="dxa"/>
                  <w:left w:w="15" w:type="dxa"/>
                  <w:bottom w:w="15" w:type="dxa"/>
                  <w:right w:w="15" w:type="dxa"/>
                </w:tblCellMar>
              </w:tblPrEx>
              <w:trPr>
                <w:trHeight w:val="1231" w:hRule="atLeast"/>
              </w:trPr>
              <w:tc>
                <w:tcPr>
                  <w:tcW w:w="112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Ansi="宋体"/>
                      <w:b/>
                      <w:bCs/>
                      <w:color w:val="000000" w:themeColor="text1"/>
                      <w:sz w:val="20"/>
                    </w:rPr>
                  </w:pPr>
                  <w:r>
                    <w:rPr>
                      <w:rFonts w:hint="eastAsia" w:hAnsi="宋体" w:cs="宋体"/>
                      <w:b/>
                      <w:bCs/>
                      <w:color w:val="000000" w:themeColor="text1"/>
                      <w:sz w:val="20"/>
                    </w:rPr>
                    <w:t>包号</w:t>
                  </w:r>
                </w:p>
              </w:tc>
              <w:tc>
                <w:tcPr>
                  <w:tcW w:w="195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color w:val="000000" w:themeColor="text1"/>
                      <w:sz w:val="20"/>
                    </w:rPr>
                  </w:pPr>
                  <w:r>
                    <w:rPr>
                      <w:rFonts w:hint="eastAsia" w:hAnsi="宋体" w:cs="宋体"/>
                      <w:b/>
                      <w:bCs/>
                      <w:color w:val="000000" w:themeColor="text1"/>
                      <w:sz w:val="20"/>
                    </w:rPr>
                    <w:t>投标单位</w:t>
                  </w:r>
                </w:p>
              </w:tc>
              <w:tc>
                <w:tcPr>
                  <w:tcW w:w="1502"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color w:val="000000" w:themeColor="text1"/>
                      <w:sz w:val="20"/>
                    </w:rPr>
                  </w:pPr>
                  <w:r>
                    <w:rPr>
                      <w:rFonts w:hint="eastAsia" w:hAnsi="宋体" w:cs="宋体"/>
                      <w:b/>
                      <w:bCs/>
                      <w:color w:val="000000" w:themeColor="text1"/>
                      <w:sz w:val="20"/>
                    </w:rPr>
                    <w:t>制造商</w:t>
                  </w:r>
                </w:p>
              </w:tc>
              <w:tc>
                <w:tcPr>
                  <w:tcW w:w="2550" w:type="dxa"/>
                  <w:tcBorders>
                    <w:top w:val="single" w:color="000000" w:sz="12" w:space="0"/>
                    <w:left w:val="single" w:color="000000" w:sz="4" w:space="0"/>
                    <w:bottom w:val="single" w:color="000000" w:sz="4" w:space="0"/>
                  </w:tcBorders>
                  <w:vAlign w:val="center"/>
                </w:tcPr>
                <w:p>
                  <w:pPr>
                    <w:widowControl/>
                    <w:jc w:val="center"/>
                    <w:textAlignment w:val="center"/>
                    <w:rPr>
                      <w:rFonts w:hAnsi="宋体"/>
                      <w:b/>
                      <w:bCs/>
                      <w:color w:val="000000" w:themeColor="text1"/>
                      <w:sz w:val="20"/>
                    </w:rPr>
                  </w:pPr>
                  <w:r>
                    <w:rPr>
                      <w:rFonts w:hint="eastAsia" w:hAnsi="宋体" w:cs="宋体"/>
                      <w:b/>
                      <w:bCs/>
                      <w:color w:val="000000" w:themeColor="text1"/>
                      <w:sz w:val="20"/>
                    </w:rPr>
                    <w:t>递交时间</w:t>
                  </w:r>
                </w:p>
              </w:tc>
              <w:tc>
                <w:tcPr>
                  <w:tcW w:w="144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color w:val="000000" w:themeColor="text1"/>
                      <w:sz w:val="20"/>
                    </w:rPr>
                  </w:pPr>
                  <w:r>
                    <w:rPr>
                      <w:rFonts w:hint="eastAsia" w:hAnsi="宋体" w:cs="宋体"/>
                      <w:b/>
                      <w:bCs/>
                      <w:color w:val="000000" w:themeColor="text1"/>
                      <w:sz w:val="20"/>
                    </w:rPr>
                    <w:t>法人代表</w:t>
                  </w:r>
                  <w:r>
                    <w:rPr>
                      <w:rFonts w:hAnsi="宋体"/>
                      <w:b/>
                      <w:bCs/>
                      <w:color w:val="000000" w:themeColor="text1"/>
                      <w:sz w:val="20"/>
                    </w:rPr>
                    <w:br w:type="textWrapping"/>
                  </w:r>
                  <w:r>
                    <w:rPr>
                      <w:rFonts w:hint="eastAsia" w:hAnsi="宋体" w:cs="宋体"/>
                      <w:b/>
                      <w:bCs/>
                      <w:color w:val="000000" w:themeColor="text1"/>
                      <w:sz w:val="20"/>
                    </w:rPr>
                    <w:t>或授权人</w:t>
                  </w:r>
                </w:p>
              </w:tc>
              <w:tc>
                <w:tcPr>
                  <w:tcW w:w="2036"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color w:val="000000" w:themeColor="text1"/>
                      <w:sz w:val="20"/>
                    </w:rPr>
                  </w:pPr>
                  <w:r>
                    <w:rPr>
                      <w:rFonts w:hint="eastAsia" w:hAnsi="宋体" w:cs="宋体"/>
                      <w:b/>
                      <w:bCs/>
                      <w:color w:val="000000" w:themeColor="text1"/>
                      <w:sz w:val="20"/>
                    </w:rPr>
                    <w:t>联系方式</w:t>
                  </w:r>
                </w:p>
              </w:tc>
              <w:tc>
                <w:tcPr>
                  <w:tcW w:w="1951"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Ansi="宋体"/>
                      <w:b/>
                      <w:bCs/>
                      <w:color w:val="000000" w:themeColor="text1"/>
                      <w:sz w:val="20"/>
                    </w:rPr>
                  </w:pPr>
                  <w:r>
                    <w:rPr>
                      <w:rFonts w:hint="eastAsia" w:hAnsi="宋体" w:cs="宋体"/>
                      <w:b/>
                      <w:bCs/>
                      <w:color w:val="000000" w:themeColor="text1"/>
                      <w:sz w:val="20"/>
                    </w:rPr>
                    <w:t>递交数量</w:t>
                  </w:r>
                </w:p>
              </w:tc>
            </w:tr>
            <w:tr>
              <w:tblPrEx>
                <w:tblCellMar>
                  <w:top w:w="15" w:type="dxa"/>
                  <w:left w:w="15" w:type="dxa"/>
                  <w:bottom w:w="15" w:type="dxa"/>
                  <w:right w:w="15" w:type="dxa"/>
                </w:tblCellMar>
              </w:tblPrEx>
              <w:trPr>
                <w:trHeight w:val="542" w:hRule="atLeast"/>
              </w:trPr>
              <w:tc>
                <w:tcPr>
                  <w:tcW w:w="1129"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color w:val="000000" w:themeColor="text1"/>
                      <w:sz w:val="20"/>
                    </w:rPr>
                  </w:pPr>
                </w:p>
              </w:tc>
              <w:tc>
                <w:tcPr>
                  <w:tcW w:w="1955"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E?" w:hAnsi="E?" w:cs="E?"/>
                      <w:color w:val="000000" w:themeColor="text1"/>
                      <w:sz w:val="20"/>
                    </w:rPr>
                  </w:pPr>
                </w:p>
              </w:tc>
              <w:tc>
                <w:tcPr>
                  <w:tcW w:w="1502" w:type="dxa"/>
                  <w:vMerge w:val="restart"/>
                  <w:tcBorders>
                    <w:top w:val="single" w:color="000000" w:sz="4" w:space="0"/>
                    <w:left w:val="single" w:color="000000" w:sz="4" w:space="0"/>
                    <w:bottom w:val="single" w:color="000000" w:sz="4" w:space="0"/>
                    <w:right w:val="single" w:color="000000" w:sz="4" w:space="0"/>
                  </w:tcBorders>
                </w:tcPr>
                <w:p>
                  <w:pPr>
                    <w:jc w:val="center"/>
                    <w:rPr>
                      <w:rFonts w:ascii="E?" w:hAnsi="E?" w:cs="E?"/>
                      <w:color w:val="000000" w:themeColor="text1"/>
                      <w:sz w:val="20"/>
                    </w:rPr>
                  </w:pPr>
                </w:p>
              </w:tc>
              <w:tc>
                <w:tcPr>
                  <w:tcW w:w="2550" w:type="dxa"/>
                  <w:vMerge w:val="restart"/>
                  <w:tcBorders>
                    <w:top w:val="single" w:color="000000" w:sz="4" w:space="0"/>
                    <w:left w:val="single" w:color="000000" w:sz="4" w:space="0"/>
                  </w:tcBorders>
                  <w:vAlign w:val="center"/>
                </w:tcPr>
                <w:p>
                  <w:pPr>
                    <w:widowControl/>
                    <w:jc w:val="center"/>
                    <w:textAlignment w:val="center"/>
                    <w:rPr>
                      <w:rFonts w:ascii="E?" w:hAnsi="E?" w:cs="E?"/>
                      <w:color w:val="000000" w:themeColor="text1"/>
                      <w:sz w:val="20"/>
                      <w:u w:val="single"/>
                    </w:rPr>
                  </w:pPr>
                  <w:r>
                    <w:rPr>
                      <w:rFonts w:hint="eastAsia" w:hAnsi="宋体" w:cs="宋体"/>
                      <w:color w:val="000000" w:themeColor="text1"/>
                      <w:sz w:val="20"/>
                    </w:rPr>
                    <w:t>年  月  日</w:t>
                  </w:r>
                </w:p>
                <w:p>
                  <w:pPr>
                    <w:widowControl/>
                    <w:jc w:val="center"/>
                    <w:textAlignment w:val="center"/>
                    <w:rPr>
                      <w:rFonts w:hAnsi="宋体"/>
                      <w:b/>
                      <w:bCs/>
                      <w:color w:val="000000" w:themeColor="text1"/>
                      <w:sz w:val="20"/>
                    </w:rPr>
                  </w:pPr>
                  <w:r>
                    <w:rPr>
                      <w:rFonts w:hint="eastAsia" w:hAnsi="宋体" w:cs="宋体"/>
                      <w:color w:val="000000" w:themeColor="text1"/>
                      <w:sz w:val="20"/>
                    </w:rPr>
                    <w:t>时  分</w:t>
                  </w:r>
                </w:p>
              </w:tc>
              <w:tc>
                <w:tcPr>
                  <w:tcW w:w="1445" w:type="dxa"/>
                  <w:vMerge w:val="restart"/>
                  <w:tcBorders>
                    <w:top w:val="single" w:color="000000" w:sz="4" w:space="0"/>
                    <w:left w:val="single" w:color="000000" w:sz="4" w:space="0"/>
                    <w:bottom w:val="single" w:color="000000" w:sz="4" w:space="0"/>
                    <w:right w:val="single" w:color="000000" w:sz="4" w:space="0"/>
                  </w:tcBorders>
                </w:tcPr>
                <w:p>
                  <w:pPr>
                    <w:jc w:val="center"/>
                    <w:rPr>
                      <w:rFonts w:ascii="E?" w:hAnsi="E?" w:cs="E?"/>
                      <w:color w:val="000000" w:themeColor="text1"/>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color w:val="000000" w:themeColor="text1"/>
                      <w:sz w:val="20"/>
                    </w:rPr>
                  </w:pPr>
                  <w:r>
                    <w:rPr>
                      <w:rFonts w:hint="eastAsia" w:hAnsi="宋体" w:cs="宋体"/>
                      <w:color w:val="000000" w:themeColor="text1"/>
                      <w:sz w:val="20"/>
                    </w:rPr>
                    <w:t>电话：</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color w:val="000000" w:themeColor="text1"/>
                      <w:sz w:val="20"/>
                    </w:rPr>
                  </w:pPr>
                  <w:r>
                    <w:rPr>
                      <w:rFonts w:hint="eastAsia" w:hAnsi="宋体" w:cs="宋体"/>
                      <w:color w:val="000000" w:themeColor="text1"/>
                      <w:sz w:val="20"/>
                    </w:rPr>
                    <w:t>正本</w:t>
                  </w:r>
                </w:p>
              </w:tc>
            </w:tr>
            <w:tr>
              <w:tblPrEx>
                <w:tblCellMar>
                  <w:top w:w="15" w:type="dxa"/>
                  <w:left w:w="15" w:type="dxa"/>
                  <w:bottom w:w="15" w:type="dxa"/>
                  <w:right w:w="15" w:type="dxa"/>
                </w:tblCellMar>
              </w:tblPrEx>
              <w:trPr>
                <w:trHeight w:val="577" w:hRule="atLeast"/>
              </w:trPr>
              <w:tc>
                <w:tcPr>
                  <w:tcW w:w="112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color w:val="000000" w:themeColor="text1"/>
                      <w:sz w:val="20"/>
                    </w:rPr>
                  </w:pPr>
                </w:p>
              </w:tc>
              <w:tc>
                <w:tcPr>
                  <w:tcW w:w="19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E?" w:hAnsi="E?" w:cs="E?"/>
                      <w:color w:val="000000" w:themeColor="text1"/>
                      <w:sz w:val="20"/>
                    </w:rPr>
                  </w:pPr>
                </w:p>
              </w:tc>
              <w:tc>
                <w:tcPr>
                  <w:tcW w:w="1502"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color w:val="000000" w:themeColor="text1"/>
                      <w:sz w:val="20"/>
                    </w:rPr>
                  </w:pPr>
                </w:p>
              </w:tc>
              <w:tc>
                <w:tcPr>
                  <w:tcW w:w="2550" w:type="dxa"/>
                  <w:vMerge w:val="continue"/>
                  <w:tcBorders>
                    <w:left w:val="single" w:color="000000" w:sz="4" w:space="0"/>
                  </w:tcBorders>
                  <w:vAlign w:val="center"/>
                </w:tcPr>
                <w:p>
                  <w:pPr>
                    <w:widowControl/>
                    <w:jc w:val="center"/>
                    <w:textAlignment w:val="center"/>
                    <w:rPr>
                      <w:rFonts w:ascii="E?" w:hAnsi="E?" w:cs="E?"/>
                      <w:b/>
                      <w:bCs/>
                      <w:color w:val="000000" w:themeColor="text1"/>
                      <w:sz w:val="20"/>
                      <w:u w:val="single"/>
                    </w:rPr>
                  </w:pPr>
                </w:p>
              </w:tc>
              <w:tc>
                <w:tcPr>
                  <w:tcW w:w="1445"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color w:val="000000" w:themeColor="text1"/>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color w:val="000000" w:themeColor="text1"/>
                      <w:sz w:val="20"/>
                    </w:rPr>
                  </w:pPr>
                  <w:r>
                    <w:rPr>
                      <w:rFonts w:hint="eastAsia" w:hAnsi="宋体" w:cs="宋体"/>
                      <w:color w:val="000000" w:themeColor="text1"/>
                      <w:sz w:val="20"/>
                    </w:rPr>
                    <w:t>传真：</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color w:val="000000" w:themeColor="text1"/>
                      <w:sz w:val="20"/>
                    </w:rPr>
                  </w:pPr>
                  <w:r>
                    <w:rPr>
                      <w:rFonts w:hint="eastAsia" w:hAnsi="宋体" w:cs="宋体"/>
                      <w:color w:val="000000" w:themeColor="text1"/>
                      <w:sz w:val="20"/>
                    </w:rPr>
                    <w:t>副本</w:t>
                  </w:r>
                </w:p>
              </w:tc>
            </w:tr>
            <w:tr>
              <w:tblPrEx>
                <w:tblCellMar>
                  <w:top w:w="15" w:type="dxa"/>
                  <w:left w:w="15" w:type="dxa"/>
                  <w:bottom w:w="15" w:type="dxa"/>
                  <w:right w:w="15" w:type="dxa"/>
                </w:tblCellMar>
              </w:tblPrEx>
              <w:trPr>
                <w:trHeight w:val="577" w:hRule="atLeast"/>
              </w:trPr>
              <w:tc>
                <w:tcPr>
                  <w:tcW w:w="112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color w:val="000000" w:themeColor="text1"/>
                      <w:sz w:val="20"/>
                    </w:rPr>
                  </w:pPr>
                </w:p>
              </w:tc>
              <w:tc>
                <w:tcPr>
                  <w:tcW w:w="19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E?" w:hAnsi="E?" w:cs="E?"/>
                      <w:color w:val="000000" w:themeColor="text1"/>
                      <w:sz w:val="20"/>
                    </w:rPr>
                  </w:pPr>
                </w:p>
              </w:tc>
              <w:tc>
                <w:tcPr>
                  <w:tcW w:w="1502"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color w:val="000000" w:themeColor="text1"/>
                      <w:sz w:val="20"/>
                    </w:rPr>
                  </w:pPr>
                </w:p>
              </w:tc>
              <w:tc>
                <w:tcPr>
                  <w:tcW w:w="2550" w:type="dxa"/>
                  <w:vMerge w:val="continue"/>
                  <w:tcBorders>
                    <w:left w:val="single" w:color="000000" w:sz="4" w:space="0"/>
                  </w:tcBorders>
                  <w:vAlign w:val="center"/>
                </w:tcPr>
                <w:p>
                  <w:pPr>
                    <w:jc w:val="center"/>
                    <w:rPr>
                      <w:rFonts w:hAnsi="宋体"/>
                      <w:b/>
                      <w:bCs/>
                      <w:color w:val="000000" w:themeColor="text1"/>
                      <w:sz w:val="20"/>
                    </w:rPr>
                  </w:pPr>
                </w:p>
              </w:tc>
              <w:tc>
                <w:tcPr>
                  <w:tcW w:w="1445"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color w:val="000000" w:themeColor="text1"/>
                      <w:sz w:val="20"/>
                    </w:rPr>
                  </w:pPr>
                </w:p>
              </w:tc>
              <w:tc>
                <w:tcPr>
                  <w:tcW w:w="2036" w:type="dxa"/>
                  <w:vMerge w:val="restart"/>
                  <w:tcBorders>
                    <w:top w:val="single" w:color="000000" w:sz="4" w:space="0"/>
                    <w:left w:val="single" w:color="000000" w:sz="4" w:space="0"/>
                    <w:right w:val="single" w:color="000000" w:sz="4" w:space="0"/>
                  </w:tcBorders>
                </w:tcPr>
                <w:p>
                  <w:pPr>
                    <w:widowControl/>
                    <w:textAlignment w:val="top"/>
                    <w:rPr>
                      <w:rFonts w:hAnsi="宋体"/>
                      <w:color w:val="000000" w:themeColor="text1"/>
                      <w:sz w:val="20"/>
                    </w:rPr>
                  </w:pPr>
                  <w:r>
                    <w:rPr>
                      <w:rFonts w:hint="eastAsia" w:hAnsi="宋体" w:cs="宋体"/>
                      <w:color w:val="000000" w:themeColor="text1"/>
                      <w:sz w:val="20"/>
                    </w:rPr>
                    <w:t>手机：</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color w:val="000000" w:themeColor="text1"/>
                      <w:sz w:val="20"/>
                    </w:rPr>
                  </w:pPr>
                  <w:r>
                    <w:rPr>
                      <w:rFonts w:hint="eastAsia" w:hAnsi="宋体" w:cs="宋体"/>
                      <w:color w:val="000000" w:themeColor="text1"/>
                      <w:sz w:val="20"/>
                    </w:rPr>
                    <w:t>开标一览表</w:t>
                  </w:r>
                </w:p>
              </w:tc>
            </w:tr>
            <w:tr>
              <w:tblPrEx>
                <w:tblCellMar>
                  <w:top w:w="15" w:type="dxa"/>
                  <w:left w:w="15" w:type="dxa"/>
                  <w:bottom w:w="15" w:type="dxa"/>
                  <w:right w:w="15" w:type="dxa"/>
                </w:tblCellMar>
              </w:tblPrEx>
              <w:trPr>
                <w:trHeight w:val="487" w:hRule="atLeast"/>
              </w:trPr>
              <w:tc>
                <w:tcPr>
                  <w:tcW w:w="112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ascii="E?" w:hAnsi="E?" w:cs="E?"/>
                      <w:color w:val="000000" w:themeColor="text1"/>
                      <w:sz w:val="20"/>
                    </w:rPr>
                  </w:pPr>
                </w:p>
              </w:tc>
              <w:tc>
                <w:tcPr>
                  <w:tcW w:w="1955" w:type="dxa"/>
                  <w:vMerge w:val="continue"/>
                  <w:tcBorders>
                    <w:top w:val="single" w:color="000000" w:sz="4" w:space="0"/>
                    <w:left w:val="single" w:color="000000" w:sz="4" w:space="0"/>
                    <w:bottom w:val="single" w:color="000000" w:sz="12" w:space="0"/>
                    <w:right w:val="single" w:color="000000" w:sz="4" w:space="0"/>
                  </w:tcBorders>
                  <w:vAlign w:val="center"/>
                </w:tcPr>
                <w:p>
                  <w:pPr>
                    <w:jc w:val="left"/>
                    <w:rPr>
                      <w:rFonts w:ascii="E?" w:hAnsi="E?" w:cs="E?"/>
                      <w:color w:val="000000" w:themeColor="text1"/>
                      <w:sz w:val="20"/>
                    </w:rPr>
                  </w:pPr>
                </w:p>
              </w:tc>
              <w:tc>
                <w:tcPr>
                  <w:tcW w:w="1502" w:type="dxa"/>
                  <w:vMerge w:val="continue"/>
                  <w:tcBorders>
                    <w:top w:val="single" w:color="000000" w:sz="4" w:space="0"/>
                    <w:left w:val="single" w:color="000000" w:sz="4" w:space="0"/>
                    <w:bottom w:val="single" w:color="000000" w:sz="12" w:space="0"/>
                    <w:right w:val="single" w:color="000000" w:sz="4" w:space="0"/>
                  </w:tcBorders>
                </w:tcPr>
                <w:p>
                  <w:pPr>
                    <w:jc w:val="center"/>
                    <w:rPr>
                      <w:rFonts w:ascii="E?" w:hAnsi="E?" w:cs="E?"/>
                      <w:color w:val="000000" w:themeColor="text1"/>
                      <w:sz w:val="20"/>
                    </w:rPr>
                  </w:pPr>
                </w:p>
              </w:tc>
              <w:tc>
                <w:tcPr>
                  <w:tcW w:w="2550" w:type="dxa"/>
                  <w:vMerge w:val="continue"/>
                  <w:tcBorders>
                    <w:left w:val="single" w:color="000000" w:sz="4" w:space="0"/>
                    <w:bottom w:val="single" w:color="000000" w:sz="12" w:space="0"/>
                  </w:tcBorders>
                  <w:vAlign w:val="center"/>
                </w:tcPr>
                <w:p>
                  <w:pPr>
                    <w:rPr>
                      <w:rFonts w:hAnsi="宋体"/>
                      <w:color w:val="000000" w:themeColor="text1"/>
                      <w:sz w:val="20"/>
                    </w:rPr>
                  </w:pPr>
                </w:p>
              </w:tc>
              <w:tc>
                <w:tcPr>
                  <w:tcW w:w="1445" w:type="dxa"/>
                  <w:vMerge w:val="continue"/>
                  <w:tcBorders>
                    <w:top w:val="single" w:color="000000" w:sz="4" w:space="0"/>
                    <w:left w:val="single" w:color="000000" w:sz="4" w:space="0"/>
                    <w:bottom w:val="single" w:color="000000" w:sz="12" w:space="0"/>
                    <w:right w:val="single" w:color="000000" w:sz="4" w:space="0"/>
                  </w:tcBorders>
                </w:tcPr>
                <w:p>
                  <w:pPr>
                    <w:jc w:val="center"/>
                    <w:rPr>
                      <w:rFonts w:ascii="E?" w:hAnsi="E?" w:cs="E?"/>
                      <w:color w:val="000000" w:themeColor="text1"/>
                      <w:sz w:val="20"/>
                    </w:rPr>
                  </w:pPr>
                </w:p>
              </w:tc>
              <w:tc>
                <w:tcPr>
                  <w:tcW w:w="2036" w:type="dxa"/>
                  <w:vMerge w:val="continue"/>
                  <w:tcBorders>
                    <w:left w:val="single" w:color="000000" w:sz="4" w:space="0"/>
                    <w:bottom w:val="single" w:color="000000" w:sz="12" w:space="0"/>
                    <w:right w:val="single" w:color="000000" w:sz="4" w:space="0"/>
                  </w:tcBorders>
                </w:tcPr>
                <w:p>
                  <w:pPr>
                    <w:rPr>
                      <w:rFonts w:hAnsi="宋体"/>
                      <w:color w:val="000000" w:themeColor="text1"/>
                      <w:sz w:val="20"/>
                    </w:rPr>
                  </w:pPr>
                </w:p>
              </w:tc>
              <w:tc>
                <w:tcPr>
                  <w:tcW w:w="1951"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hAnsi="宋体"/>
                      <w:color w:val="000000" w:themeColor="text1"/>
                      <w:sz w:val="20"/>
                    </w:rPr>
                  </w:pPr>
                  <w:r>
                    <w:rPr>
                      <w:rFonts w:hint="eastAsia" w:hAnsi="宋体"/>
                      <w:color w:val="000000" w:themeColor="text1"/>
                      <w:sz w:val="20"/>
                    </w:rPr>
                    <w:t>其他</w:t>
                  </w:r>
                </w:p>
              </w:tc>
            </w:tr>
            <w:tr>
              <w:tblPrEx>
                <w:tblCellMar>
                  <w:top w:w="15" w:type="dxa"/>
                  <w:left w:w="15" w:type="dxa"/>
                  <w:bottom w:w="15" w:type="dxa"/>
                  <w:right w:w="15" w:type="dxa"/>
                </w:tblCellMar>
              </w:tblPrEx>
              <w:trPr>
                <w:gridAfter w:val="6"/>
                <w:wAfter w:w="11439" w:type="dxa"/>
                <w:trHeight w:val="637" w:hRule="atLeast"/>
              </w:trPr>
              <w:tc>
                <w:tcPr>
                  <w:tcW w:w="1129" w:type="dxa"/>
                  <w:tcBorders>
                    <w:top w:val="single" w:color="000000" w:sz="12" w:space="0"/>
                  </w:tcBorders>
                  <w:vAlign w:val="center"/>
                </w:tcPr>
                <w:p>
                  <w:pPr>
                    <w:widowControl/>
                    <w:jc w:val="left"/>
                    <w:textAlignment w:val="center"/>
                    <w:rPr>
                      <w:rFonts w:hAnsi="宋体"/>
                      <w:color w:val="000000" w:themeColor="text1"/>
                      <w:sz w:val="20"/>
                    </w:rPr>
                  </w:pPr>
                  <w:r>
                    <w:rPr>
                      <w:rFonts w:hint="eastAsia" w:hAnsi="宋体" w:cs="宋体"/>
                      <w:color w:val="000000" w:themeColor="text1"/>
                      <w:sz w:val="20"/>
                    </w:rPr>
                    <w:t>签收人：</w:t>
                  </w:r>
                </w:p>
              </w:tc>
            </w:tr>
          </w:tbl>
          <w:p>
            <w:pPr>
              <w:textAlignment w:val="bottom"/>
              <w:rPr>
                <w:rFonts w:ascii="仿宋" w:hAnsi="仿宋"/>
                <w:color w:val="000000" w:themeColor="text1"/>
                <w:sz w:val="24"/>
              </w:rPr>
            </w:pPr>
          </w:p>
        </w:tc>
      </w:tr>
      <w:bookmarkEnd w:id="184"/>
    </w:tbl>
    <w:p>
      <w:pPr>
        <w:spacing w:line="400" w:lineRule="exact"/>
        <w:ind w:firstLine="680" w:firstLineChars="200"/>
        <w:rPr>
          <w:rFonts w:ascii="仿宋" w:hAnsi="仿宋" w:eastAsia="仿宋"/>
          <w:color w:val="000000" w:themeColor="text1"/>
        </w:rPr>
      </w:pP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82016" w:usb3="00000000" w:csb0="00040001" w:csb1="00000000"/>
  </w:font>
  <w:font w:name="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Text Box 1" o:spid="_x0000_s4097"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ulvw/RAAAAAwEAAA8A&#10;AAAAAAAAAQAgAAAAIgAAAGRycy9kb3ducmV2LnhtbFBLAQIUABQAAAAIAIdO4kD+O3Yh5QEAAMED&#10;AAAOAAAAAAAAAAEAIAAAACABAABkcnMvZTJvRG9jLnhtbFBLBQYAAAAABgAGAFkBAAB3BQAAAAA=&#10;">
          <v:path/>
          <v:fill on="f" focussize="0,0"/>
          <v:stroke on="f" joinstyle="miter"/>
          <v:imagedata o:title=""/>
          <o:lock v:ext="edit"/>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Text Box 2" o:spid="_x0000_s4098"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6W/D9EAAAADAQAADwAA&#10;AAAAAAABACAAAAAiAAAAZHJzL2Rvd25yZXYueG1sUEsBAhQAFAAAAAgAh07iQNVNUKXkAQAAwQMA&#10;AA4AAAAAAAAAAQAgAAAAIAEAAGRycy9lMm9Eb2MueG1sUEsFBgAAAAAGAAYAWQEAAHYFAAAAAA==&#10;">
          <v:path/>
          <v:fill on="f" focussize="0,0"/>
          <v:stroke on="f" joinstyle="miter"/>
          <v:imagedata o:title=""/>
          <o:lock v:ext="edit"/>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E1B2F"/>
    <w:multiLevelType w:val="singleLevel"/>
    <w:tmpl w:val="821E1B2F"/>
    <w:lvl w:ilvl="0" w:tentative="0">
      <w:start w:val="1"/>
      <w:numFmt w:val="decimal"/>
      <w:suff w:val="nothing"/>
      <w:lvlText w:val="（%1）"/>
      <w:lvlJc w:val="left"/>
      <w:pPr>
        <w:ind w:left="360" w:firstLine="0"/>
      </w:pPr>
    </w:lvl>
  </w:abstractNum>
  <w:abstractNum w:abstractNumId="1">
    <w:nsid w:val="F2C5BFCD"/>
    <w:multiLevelType w:val="singleLevel"/>
    <w:tmpl w:val="F2C5BFCD"/>
    <w:lvl w:ilvl="0" w:tentative="0">
      <w:start w:val="2"/>
      <w:numFmt w:val="decimal"/>
      <w:suff w:val="nothing"/>
      <w:lvlText w:val="%1、"/>
      <w:lvlJc w:val="left"/>
      <w:pPr>
        <w:ind w:left="360" w:firstLine="0"/>
      </w:pPr>
    </w:lvl>
  </w:abstractNum>
  <w:abstractNum w:abstractNumId="2">
    <w:nsid w:val="0000000A"/>
    <w:multiLevelType w:val="multilevel"/>
    <w:tmpl w:val="0000000A"/>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3">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5E5B07"/>
    <w:multiLevelType w:val="singleLevel"/>
    <w:tmpl w:val="275E5B07"/>
    <w:lvl w:ilvl="0" w:tentative="0">
      <w:start w:val="1"/>
      <w:numFmt w:val="chineseCounting"/>
      <w:suff w:val="nothing"/>
      <w:lvlText w:val="%1、"/>
      <w:lvlJc w:val="left"/>
      <w:pPr>
        <w:ind w:left="-420" w:firstLine="420"/>
      </w:pPr>
      <w:rPr>
        <w:lang w:val="en-US"/>
      </w:rPr>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71"/>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5"/>
  </w:num>
  <w:num w:numId="3">
    <w:abstractNumId w:val="3"/>
  </w:num>
  <w:num w:numId="4">
    <w:abstractNumId w:val="1"/>
  </w:num>
  <w:num w:numId="5">
    <w:abstractNumId w:val="4"/>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9"/>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RlYWIyYTg0MTVmZjhjYjEzNWRlY2FmZjhkNTA4YjMifQ=="/>
  </w:docVars>
  <w:rsids>
    <w:rsidRoot w:val="00172A27"/>
    <w:rsid w:val="000018F2"/>
    <w:rsid w:val="00005158"/>
    <w:rsid w:val="00005844"/>
    <w:rsid w:val="0001473B"/>
    <w:rsid w:val="00023A53"/>
    <w:rsid w:val="00025231"/>
    <w:rsid w:val="000257C9"/>
    <w:rsid w:val="000313B1"/>
    <w:rsid w:val="0004163D"/>
    <w:rsid w:val="00041679"/>
    <w:rsid w:val="00043AEE"/>
    <w:rsid w:val="00044156"/>
    <w:rsid w:val="00050BE7"/>
    <w:rsid w:val="00055D31"/>
    <w:rsid w:val="00055D3D"/>
    <w:rsid w:val="000576B3"/>
    <w:rsid w:val="000704B3"/>
    <w:rsid w:val="00073A91"/>
    <w:rsid w:val="00077693"/>
    <w:rsid w:val="000862C5"/>
    <w:rsid w:val="00092679"/>
    <w:rsid w:val="0009721D"/>
    <w:rsid w:val="000A0AA2"/>
    <w:rsid w:val="000B112B"/>
    <w:rsid w:val="000B1D42"/>
    <w:rsid w:val="000C15B3"/>
    <w:rsid w:val="000D6EC2"/>
    <w:rsid w:val="000E292E"/>
    <w:rsid w:val="00111593"/>
    <w:rsid w:val="00113376"/>
    <w:rsid w:val="00114FF5"/>
    <w:rsid w:val="00115D9E"/>
    <w:rsid w:val="00116A41"/>
    <w:rsid w:val="00122BD5"/>
    <w:rsid w:val="00137C95"/>
    <w:rsid w:val="0014102A"/>
    <w:rsid w:val="00141192"/>
    <w:rsid w:val="00141932"/>
    <w:rsid w:val="00142254"/>
    <w:rsid w:val="001426B6"/>
    <w:rsid w:val="001519FF"/>
    <w:rsid w:val="00152B49"/>
    <w:rsid w:val="00153753"/>
    <w:rsid w:val="00153905"/>
    <w:rsid w:val="00163803"/>
    <w:rsid w:val="00166678"/>
    <w:rsid w:val="00172A27"/>
    <w:rsid w:val="00173B99"/>
    <w:rsid w:val="00174B19"/>
    <w:rsid w:val="00186227"/>
    <w:rsid w:val="001939B2"/>
    <w:rsid w:val="001A012B"/>
    <w:rsid w:val="001A14A1"/>
    <w:rsid w:val="001A2573"/>
    <w:rsid w:val="001A39F0"/>
    <w:rsid w:val="001B440A"/>
    <w:rsid w:val="001B5401"/>
    <w:rsid w:val="001C476E"/>
    <w:rsid w:val="001D3D95"/>
    <w:rsid w:val="001D6153"/>
    <w:rsid w:val="001E2538"/>
    <w:rsid w:val="001E350F"/>
    <w:rsid w:val="001E3DB2"/>
    <w:rsid w:val="001E4FCF"/>
    <w:rsid w:val="001F0E05"/>
    <w:rsid w:val="001F18C0"/>
    <w:rsid w:val="001F3932"/>
    <w:rsid w:val="001F6FB1"/>
    <w:rsid w:val="001F7FE6"/>
    <w:rsid w:val="00201334"/>
    <w:rsid w:val="002033F0"/>
    <w:rsid w:val="002034FC"/>
    <w:rsid w:val="002161B5"/>
    <w:rsid w:val="00223B07"/>
    <w:rsid w:val="002534B9"/>
    <w:rsid w:val="002536A8"/>
    <w:rsid w:val="00261791"/>
    <w:rsid w:val="00264413"/>
    <w:rsid w:val="002728CE"/>
    <w:rsid w:val="002760C1"/>
    <w:rsid w:val="00280E21"/>
    <w:rsid w:val="002828B3"/>
    <w:rsid w:val="002A294F"/>
    <w:rsid w:val="002B1D73"/>
    <w:rsid w:val="002B550E"/>
    <w:rsid w:val="002B62AC"/>
    <w:rsid w:val="002C082F"/>
    <w:rsid w:val="002C459D"/>
    <w:rsid w:val="002C6318"/>
    <w:rsid w:val="002C713A"/>
    <w:rsid w:val="002D05FD"/>
    <w:rsid w:val="002D6B71"/>
    <w:rsid w:val="002F002A"/>
    <w:rsid w:val="002F0603"/>
    <w:rsid w:val="002F1D79"/>
    <w:rsid w:val="002F328D"/>
    <w:rsid w:val="00300BDA"/>
    <w:rsid w:val="0030405D"/>
    <w:rsid w:val="003130B3"/>
    <w:rsid w:val="00317BD4"/>
    <w:rsid w:val="0033138F"/>
    <w:rsid w:val="003354FA"/>
    <w:rsid w:val="00340CFA"/>
    <w:rsid w:val="00340DD6"/>
    <w:rsid w:val="00341635"/>
    <w:rsid w:val="0034523E"/>
    <w:rsid w:val="00351D01"/>
    <w:rsid w:val="003602C3"/>
    <w:rsid w:val="003711DA"/>
    <w:rsid w:val="003735D7"/>
    <w:rsid w:val="00373D84"/>
    <w:rsid w:val="00382FC6"/>
    <w:rsid w:val="003A0AFC"/>
    <w:rsid w:val="003A1320"/>
    <w:rsid w:val="003A2BE8"/>
    <w:rsid w:val="003A2C96"/>
    <w:rsid w:val="003B3F1B"/>
    <w:rsid w:val="003B4DDC"/>
    <w:rsid w:val="003B5B19"/>
    <w:rsid w:val="003C1703"/>
    <w:rsid w:val="003C72B8"/>
    <w:rsid w:val="003C74FF"/>
    <w:rsid w:val="003E097D"/>
    <w:rsid w:val="003E24D0"/>
    <w:rsid w:val="003E3A49"/>
    <w:rsid w:val="003E4F9B"/>
    <w:rsid w:val="003E5081"/>
    <w:rsid w:val="003E5C18"/>
    <w:rsid w:val="003E70CE"/>
    <w:rsid w:val="003F280C"/>
    <w:rsid w:val="003F37A0"/>
    <w:rsid w:val="003F72B7"/>
    <w:rsid w:val="004109C8"/>
    <w:rsid w:val="0041430A"/>
    <w:rsid w:val="00415FC5"/>
    <w:rsid w:val="004162C5"/>
    <w:rsid w:val="00416D51"/>
    <w:rsid w:val="004208C1"/>
    <w:rsid w:val="004212E1"/>
    <w:rsid w:val="004226CD"/>
    <w:rsid w:val="004252DD"/>
    <w:rsid w:val="00434252"/>
    <w:rsid w:val="004360F0"/>
    <w:rsid w:val="0043643A"/>
    <w:rsid w:val="00436A24"/>
    <w:rsid w:val="004375DB"/>
    <w:rsid w:val="00450795"/>
    <w:rsid w:val="0045599E"/>
    <w:rsid w:val="00460174"/>
    <w:rsid w:val="00465E8E"/>
    <w:rsid w:val="004709CD"/>
    <w:rsid w:val="004804C9"/>
    <w:rsid w:val="004976B5"/>
    <w:rsid w:val="004A6E64"/>
    <w:rsid w:val="004A7202"/>
    <w:rsid w:val="004B12AA"/>
    <w:rsid w:val="004B15A2"/>
    <w:rsid w:val="004C47C8"/>
    <w:rsid w:val="004C5D1B"/>
    <w:rsid w:val="004C67DC"/>
    <w:rsid w:val="004D29DD"/>
    <w:rsid w:val="0050595A"/>
    <w:rsid w:val="00506F97"/>
    <w:rsid w:val="0051094A"/>
    <w:rsid w:val="00514A2D"/>
    <w:rsid w:val="00523490"/>
    <w:rsid w:val="00535919"/>
    <w:rsid w:val="00547B3D"/>
    <w:rsid w:val="00560992"/>
    <w:rsid w:val="00561DCC"/>
    <w:rsid w:val="00566078"/>
    <w:rsid w:val="005705EC"/>
    <w:rsid w:val="00586234"/>
    <w:rsid w:val="005977E0"/>
    <w:rsid w:val="005A0E5B"/>
    <w:rsid w:val="005A4E3E"/>
    <w:rsid w:val="005B236A"/>
    <w:rsid w:val="005B3FE2"/>
    <w:rsid w:val="005B5159"/>
    <w:rsid w:val="005C36B4"/>
    <w:rsid w:val="005C3E41"/>
    <w:rsid w:val="005D5C44"/>
    <w:rsid w:val="005D65E0"/>
    <w:rsid w:val="005D726B"/>
    <w:rsid w:val="005E500C"/>
    <w:rsid w:val="005F1720"/>
    <w:rsid w:val="005F5127"/>
    <w:rsid w:val="005F736B"/>
    <w:rsid w:val="005F7D45"/>
    <w:rsid w:val="00605AE7"/>
    <w:rsid w:val="00605C59"/>
    <w:rsid w:val="006103EA"/>
    <w:rsid w:val="00612D90"/>
    <w:rsid w:val="00620574"/>
    <w:rsid w:val="00626855"/>
    <w:rsid w:val="00634F56"/>
    <w:rsid w:val="00662D06"/>
    <w:rsid w:val="00663827"/>
    <w:rsid w:val="00664DC3"/>
    <w:rsid w:val="00667780"/>
    <w:rsid w:val="00671300"/>
    <w:rsid w:val="00673AD1"/>
    <w:rsid w:val="006850AE"/>
    <w:rsid w:val="006856B8"/>
    <w:rsid w:val="0068717D"/>
    <w:rsid w:val="006A006F"/>
    <w:rsid w:val="006A1B5E"/>
    <w:rsid w:val="006A63E0"/>
    <w:rsid w:val="006B0990"/>
    <w:rsid w:val="006B23D3"/>
    <w:rsid w:val="006B3227"/>
    <w:rsid w:val="006B6C23"/>
    <w:rsid w:val="006C5B50"/>
    <w:rsid w:val="006D00E4"/>
    <w:rsid w:val="006E5B7F"/>
    <w:rsid w:val="006E7319"/>
    <w:rsid w:val="006F75C4"/>
    <w:rsid w:val="007018E8"/>
    <w:rsid w:val="007074FC"/>
    <w:rsid w:val="007124AC"/>
    <w:rsid w:val="00712C3E"/>
    <w:rsid w:val="00714389"/>
    <w:rsid w:val="00716957"/>
    <w:rsid w:val="00720F74"/>
    <w:rsid w:val="00733AFB"/>
    <w:rsid w:val="0074148F"/>
    <w:rsid w:val="00741E90"/>
    <w:rsid w:val="0074495C"/>
    <w:rsid w:val="00744AE6"/>
    <w:rsid w:val="00747B1E"/>
    <w:rsid w:val="00754AF4"/>
    <w:rsid w:val="00757C01"/>
    <w:rsid w:val="0077137B"/>
    <w:rsid w:val="007944BA"/>
    <w:rsid w:val="007A1499"/>
    <w:rsid w:val="007A2510"/>
    <w:rsid w:val="007A474F"/>
    <w:rsid w:val="007B7211"/>
    <w:rsid w:val="007B7755"/>
    <w:rsid w:val="007C3EB1"/>
    <w:rsid w:val="007D12CD"/>
    <w:rsid w:val="007D325F"/>
    <w:rsid w:val="007D3962"/>
    <w:rsid w:val="007D69B3"/>
    <w:rsid w:val="007E5D1A"/>
    <w:rsid w:val="007E70A4"/>
    <w:rsid w:val="007E7BF7"/>
    <w:rsid w:val="007F0911"/>
    <w:rsid w:val="007F17D6"/>
    <w:rsid w:val="007F3B66"/>
    <w:rsid w:val="007F640E"/>
    <w:rsid w:val="007F675F"/>
    <w:rsid w:val="00810D66"/>
    <w:rsid w:val="00813F76"/>
    <w:rsid w:val="008174CD"/>
    <w:rsid w:val="00830337"/>
    <w:rsid w:val="00833CFC"/>
    <w:rsid w:val="00846939"/>
    <w:rsid w:val="008531E5"/>
    <w:rsid w:val="00854DEB"/>
    <w:rsid w:val="00863FFF"/>
    <w:rsid w:val="0088749D"/>
    <w:rsid w:val="00890E1A"/>
    <w:rsid w:val="00892652"/>
    <w:rsid w:val="00896EBA"/>
    <w:rsid w:val="008A0254"/>
    <w:rsid w:val="008A109D"/>
    <w:rsid w:val="008A6170"/>
    <w:rsid w:val="008A6CC3"/>
    <w:rsid w:val="008A7B67"/>
    <w:rsid w:val="008B0F6B"/>
    <w:rsid w:val="008B2312"/>
    <w:rsid w:val="008B5B4B"/>
    <w:rsid w:val="008B7405"/>
    <w:rsid w:val="008C3420"/>
    <w:rsid w:val="008C3925"/>
    <w:rsid w:val="008D3D97"/>
    <w:rsid w:val="008E5C7C"/>
    <w:rsid w:val="008F30C0"/>
    <w:rsid w:val="00900130"/>
    <w:rsid w:val="009034BB"/>
    <w:rsid w:val="009123A7"/>
    <w:rsid w:val="00914D67"/>
    <w:rsid w:val="00920875"/>
    <w:rsid w:val="0093131D"/>
    <w:rsid w:val="00932F58"/>
    <w:rsid w:val="0093445B"/>
    <w:rsid w:val="009367DB"/>
    <w:rsid w:val="00937A8D"/>
    <w:rsid w:val="00940F5C"/>
    <w:rsid w:val="00941C21"/>
    <w:rsid w:val="00944ADE"/>
    <w:rsid w:val="00945433"/>
    <w:rsid w:val="0095002A"/>
    <w:rsid w:val="00950F12"/>
    <w:rsid w:val="00954ED0"/>
    <w:rsid w:val="00962511"/>
    <w:rsid w:val="00965B2B"/>
    <w:rsid w:val="00971A18"/>
    <w:rsid w:val="0097506A"/>
    <w:rsid w:val="0097772B"/>
    <w:rsid w:val="00977FBE"/>
    <w:rsid w:val="00987CC2"/>
    <w:rsid w:val="00995C5B"/>
    <w:rsid w:val="009A596F"/>
    <w:rsid w:val="009B2B16"/>
    <w:rsid w:val="009C1A9A"/>
    <w:rsid w:val="009C1F1D"/>
    <w:rsid w:val="009C6A1E"/>
    <w:rsid w:val="009D6B0B"/>
    <w:rsid w:val="009E1A3D"/>
    <w:rsid w:val="009E2261"/>
    <w:rsid w:val="009F12CA"/>
    <w:rsid w:val="009F33BD"/>
    <w:rsid w:val="009F4038"/>
    <w:rsid w:val="00A150A8"/>
    <w:rsid w:val="00A154F8"/>
    <w:rsid w:val="00A17ED8"/>
    <w:rsid w:val="00A21213"/>
    <w:rsid w:val="00A23B5B"/>
    <w:rsid w:val="00A2619A"/>
    <w:rsid w:val="00A3722E"/>
    <w:rsid w:val="00A411A7"/>
    <w:rsid w:val="00A52549"/>
    <w:rsid w:val="00A53A4C"/>
    <w:rsid w:val="00A65BC6"/>
    <w:rsid w:val="00A671DE"/>
    <w:rsid w:val="00A70099"/>
    <w:rsid w:val="00A75972"/>
    <w:rsid w:val="00A77239"/>
    <w:rsid w:val="00A77723"/>
    <w:rsid w:val="00A81616"/>
    <w:rsid w:val="00A81BE3"/>
    <w:rsid w:val="00A82978"/>
    <w:rsid w:val="00A8447F"/>
    <w:rsid w:val="00A85B58"/>
    <w:rsid w:val="00A86F6B"/>
    <w:rsid w:val="00A87E7A"/>
    <w:rsid w:val="00A90231"/>
    <w:rsid w:val="00A90DFB"/>
    <w:rsid w:val="00A910BA"/>
    <w:rsid w:val="00A91E38"/>
    <w:rsid w:val="00A9554B"/>
    <w:rsid w:val="00A96F2E"/>
    <w:rsid w:val="00AA2F5F"/>
    <w:rsid w:val="00AA411D"/>
    <w:rsid w:val="00AA5ABF"/>
    <w:rsid w:val="00AB65C5"/>
    <w:rsid w:val="00AC08DA"/>
    <w:rsid w:val="00AC1D71"/>
    <w:rsid w:val="00AC1EAC"/>
    <w:rsid w:val="00AE09B6"/>
    <w:rsid w:val="00AE6DA4"/>
    <w:rsid w:val="00AF029A"/>
    <w:rsid w:val="00AF09D8"/>
    <w:rsid w:val="00AF6A9D"/>
    <w:rsid w:val="00B00067"/>
    <w:rsid w:val="00B021B4"/>
    <w:rsid w:val="00B143D6"/>
    <w:rsid w:val="00B154D3"/>
    <w:rsid w:val="00B21E59"/>
    <w:rsid w:val="00B338AB"/>
    <w:rsid w:val="00B346B4"/>
    <w:rsid w:val="00B356BD"/>
    <w:rsid w:val="00B46B8A"/>
    <w:rsid w:val="00B51F1F"/>
    <w:rsid w:val="00B5331F"/>
    <w:rsid w:val="00B60927"/>
    <w:rsid w:val="00B75FDE"/>
    <w:rsid w:val="00B81B68"/>
    <w:rsid w:val="00B87660"/>
    <w:rsid w:val="00B94378"/>
    <w:rsid w:val="00BB1B72"/>
    <w:rsid w:val="00BB1DAD"/>
    <w:rsid w:val="00BB3581"/>
    <w:rsid w:val="00BC1ACF"/>
    <w:rsid w:val="00BC3922"/>
    <w:rsid w:val="00BC591D"/>
    <w:rsid w:val="00BD0670"/>
    <w:rsid w:val="00BD0926"/>
    <w:rsid w:val="00BD21AC"/>
    <w:rsid w:val="00BD5146"/>
    <w:rsid w:val="00BE46DF"/>
    <w:rsid w:val="00BF34E1"/>
    <w:rsid w:val="00BF3DC1"/>
    <w:rsid w:val="00C00E3D"/>
    <w:rsid w:val="00C016FB"/>
    <w:rsid w:val="00C05F8B"/>
    <w:rsid w:val="00C07B9F"/>
    <w:rsid w:val="00C1278A"/>
    <w:rsid w:val="00C21534"/>
    <w:rsid w:val="00C34E94"/>
    <w:rsid w:val="00C4077A"/>
    <w:rsid w:val="00C41A7B"/>
    <w:rsid w:val="00C42268"/>
    <w:rsid w:val="00C429C0"/>
    <w:rsid w:val="00C43AAF"/>
    <w:rsid w:val="00C44E7F"/>
    <w:rsid w:val="00C455AE"/>
    <w:rsid w:val="00C64799"/>
    <w:rsid w:val="00C6526B"/>
    <w:rsid w:val="00C729C2"/>
    <w:rsid w:val="00C772EA"/>
    <w:rsid w:val="00C803C2"/>
    <w:rsid w:val="00C803ED"/>
    <w:rsid w:val="00C84CDE"/>
    <w:rsid w:val="00C87B07"/>
    <w:rsid w:val="00C95C13"/>
    <w:rsid w:val="00C97CDC"/>
    <w:rsid w:val="00CA3C85"/>
    <w:rsid w:val="00CA7555"/>
    <w:rsid w:val="00CA7985"/>
    <w:rsid w:val="00CB467E"/>
    <w:rsid w:val="00CC1327"/>
    <w:rsid w:val="00CC5E10"/>
    <w:rsid w:val="00CD1660"/>
    <w:rsid w:val="00CD1CAF"/>
    <w:rsid w:val="00CD3E67"/>
    <w:rsid w:val="00CD501E"/>
    <w:rsid w:val="00CD5972"/>
    <w:rsid w:val="00CE07D2"/>
    <w:rsid w:val="00CE5265"/>
    <w:rsid w:val="00CE65D5"/>
    <w:rsid w:val="00CE6B74"/>
    <w:rsid w:val="00CF0832"/>
    <w:rsid w:val="00CF218D"/>
    <w:rsid w:val="00CF4CEE"/>
    <w:rsid w:val="00CF7A71"/>
    <w:rsid w:val="00D00E15"/>
    <w:rsid w:val="00D03023"/>
    <w:rsid w:val="00D171BC"/>
    <w:rsid w:val="00D27E1E"/>
    <w:rsid w:val="00D3496F"/>
    <w:rsid w:val="00D36489"/>
    <w:rsid w:val="00D41E07"/>
    <w:rsid w:val="00D43DBB"/>
    <w:rsid w:val="00D5125D"/>
    <w:rsid w:val="00D64B21"/>
    <w:rsid w:val="00D65163"/>
    <w:rsid w:val="00D71511"/>
    <w:rsid w:val="00D745C3"/>
    <w:rsid w:val="00D754A0"/>
    <w:rsid w:val="00D7581A"/>
    <w:rsid w:val="00D81F44"/>
    <w:rsid w:val="00D8634F"/>
    <w:rsid w:val="00D91A6B"/>
    <w:rsid w:val="00D92285"/>
    <w:rsid w:val="00D94851"/>
    <w:rsid w:val="00D97266"/>
    <w:rsid w:val="00DA1359"/>
    <w:rsid w:val="00DA798F"/>
    <w:rsid w:val="00DB7886"/>
    <w:rsid w:val="00DB7E31"/>
    <w:rsid w:val="00DC2730"/>
    <w:rsid w:val="00DD771B"/>
    <w:rsid w:val="00DE0F54"/>
    <w:rsid w:val="00DE18E5"/>
    <w:rsid w:val="00DE6D4B"/>
    <w:rsid w:val="00DF205A"/>
    <w:rsid w:val="00DF70D1"/>
    <w:rsid w:val="00E01632"/>
    <w:rsid w:val="00E02704"/>
    <w:rsid w:val="00E03C77"/>
    <w:rsid w:val="00E046DD"/>
    <w:rsid w:val="00E052CE"/>
    <w:rsid w:val="00E10A04"/>
    <w:rsid w:val="00E15460"/>
    <w:rsid w:val="00E16C3F"/>
    <w:rsid w:val="00E31C4E"/>
    <w:rsid w:val="00E33174"/>
    <w:rsid w:val="00E33CF1"/>
    <w:rsid w:val="00E34A95"/>
    <w:rsid w:val="00E36777"/>
    <w:rsid w:val="00E36EDA"/>
    <w:rsid w:val="00E46919"/>
    <w:rsid w:val="00E543AA"/>
    <w:rsid w:val="00E64874"/>
    <w:rsid w:val="00E6578A"/>
    <w:rsid w:val="00E65F81"/>
    <w:rsid w:val="00E7011E"/>
    <w:rsid w:val="00E8003A"/>
    <w:rsid w:val="00E90C2E"/>
    <w:rsid w:val="00E92C84"/>
    <w:rsid w:val="00E9311B"/>
    <w:rsid w:val="00EA0AF4"/>
    <w:rsid w:val="00EA4205"/>
    <w:rsid w:val="00EB06D0"/>
    <w:rsid w:val="00EB6CA6"/>
    <w:rsid w:val="00EC4169"/>
    <w:rsid w:val="00EC5856"/>
    <w:rsid w:val="00ED111D"/>
    <w:rsid w:val="00ED565D"/>
    <w:rsid w:val="00ED656C"/>
    <w:rsid w:val="00ED6DE5"/>
    <w:rsid w:val="00ED7876"/>
    <w:rsid w:val="00EE065B"/>
    <w:rsid w:val="00F011A3"/>
    <w:rsid w:val="00F06069"/>
    <w:rsid w:val="00F1545B"/>
    <w:rsid w:val="00F24081"/>
    <w:rsid w:val="00F31BBC"/>
    <w:rsid w:val="00F32185"/>
    <w:rsid w:val="00F357E2"/>
    <w:rsid w:val="00F3772F"/>
    <w:rsid w:val="00F4586F"/>
    <w:rsid w:val="00F467C6"/>
    <w:rsid w:val="00F473A5"/>
    <w:rsid w:val="00F52D78"/>
    <w:rsid w:val="00F56AB1"/>
    <w:rsid w:val="00F64885"/>
    <w:rsid w:val="00F64E8A"/>
    <w:rsid w:val="00F67FD5"/>
    <w:rsid w:val="00F703DB"/>
    <w:rsid w:val="00F72EAD"/>
    <w:rsid w:val="00F745BA"/>
    <w:rsid w:val="00F76A89"/>
    <w:rsid w:val="00F9626A"/>
    <w:rsid w:val="00FA0B6B"/>
    <w:rsid w:val="00FA305F"/>
    <w:rsid w:val="00FA3B66"/>
    <w:rsid w:val="00FA4AA6"/>
    <w:rsid w:val="00FC2E43"/>
    <w:rsid w:val="00FC3BC8"/>
    <w:rsid w:val="00FC3E3D"/>
    <w:rsid w:val="00FC6E01"/>
    <w:rsid w:val="00FD30E7"/>
    <w:rsid w:val="00FD5FA1"/>
    <w:rsid w:val="00FF1984"/>
    <w:rsid w:val="00FF230E"/>
    <w:rsid w:val="00FF58B1"/>
    <w:rsid w:val="00FF5E9A"/>
    <w:rsid w:val="027116C2"/>
    <w:rsid w:val="02BB164E"/>
    <w:rsid w:val="02D021B2"/>
    <w:rsid w:val="032B3275"/>
    <w:rsid w:val="04C82CA7"/>
    <w:rsid w:val="05AD339F"/>
    <w:rsid w:val="05CA1332"/>
    <w:rsid w:val="05D97E72"/>
    <w:rsid w:val="07581781"/>
    <w:rsid w:val="07732EAB"/>
    <w:rsid w:val="08115FDD"/>
    <w:rsid w:val="086F3741"/>
    <w:rsid w:val="09E2603B"/>
    <w:rsid w:val="0B683222"/>
    <w:rsid w:val="0BCE084E"/>
    <w:rsid w:val="0C664729"/>
    <w:rsid w:val="0CB1732C"/>
    <w:rsid w:val="0E0D0BFC"/>
    <w:rsid w:val="0E221143"/>
    <w:rsid w:val="0EC81AC6"/>
    <w:rsid w:val="0EE54ACA"/>
    <w:rsid w:val="10442166"/>
    <w:rsid w:val="10875E35"/>
    <w:rsid w:val="10B74BF8"/>
    <w:rsid w:val="11757EC5"/>
    <w:rsid w:val="11D17A40"/>
    <w:rsid w:val="12021B0F"/>
    <w:rsid w:val="12D14D7B"/>
    <w:rsid w:val="138D7DD8"/>
    <w:rsid w:val="13A913E3"/>
    <w:rsid w:val="148C119B"/>
    <w:rsid w:val="14D341E0"/>
    <w:rsid w:val="17E733EC"/>
    <w:rsid w:val="18AD5B1F"/>
    <w:rsid w:val="18ED0309"/>
    <w:rsid w:val="193C77B1"/>
    <w:rsid w:val="19CA35E3"/>
    <w:rsid w:val="19FA0471"/>
    <w:rsid w:val="1B9060ED"/>
    <w:rsid w:val="1BC6404C"/>
    <w:rsid w:val="1E044100"/>
    <w:rsid w:val="1F670629"/>
    <w:rsid w:val="1FAA13C8"/>
    <w:rsid w:val="20F87C84"/>
    <w:rsid w:val="21182614"/>
    <w:rsid w:val="22436272"/>
    <w:rsid w:val="22B20DA4"/>
    <w:rsid w:val="22BE3637"/>
    <w:rsid w:val="23563263"/>
    <w:rsid w:val="2370515D"/>
    <w:rsid w:val="24884A68"/>
    <w:rsid w:val="24AA6B49"/>
    <w:rsid w:val="270C0E02"/>
    <w:rsid w:val="28597E14"/>
    <w:rsid w:val="2A3C4117"/>
    <w:rsid w:val="2AC1446E"/>
    <w:rsid w:val="2AFD0E35"/>
    <w:rsid w:val="2C981661"/>
    <w:rsid w:val="2D075DE6"/>
    <w:rsid w:val="2D4673D1"/>
    <w:rsid w:val="2DFC121B"/>
    <w:rsid w:val="2DFC6583"/>
    <w:rsid w:val="2E086533"/>
    <w:rsid w:val="2E830531"/>
    <w:rsid w:val="2FB07119"/>
    <w:rsid w:val="31732EAB"/>
    <w:rsid w:val="318467F8"/>
    <w:rsid w:val="31F76D4D"/>
    <w:rsid w:val="33431BA4"/>
    <w:rsid w:val="34286A7D"/>
    <w:rsid w:val="35AE2037"/>
    <w:rsid w:val="36C817F6"/>
    <w:rsid w:val="397945EA"/>
    <w:rsid w:val="3BDE2C26"/>
    <w:rsid w:val="3C1A2A47"/>
    <w:rsid w:val="3EC52688"/>
    <w:rsid w:val="3EC97A59"/>
    <w:rsid w:val="3F406CEB"/>
    <w:rsid w:val="43096114"/>
    <w:rsid w:val="43AF2B41"/>
    <w:rsid w:val="43B53307"/>
    <w:rsid w:val="44DF267D"/>
    <w:rsid w:val="46070761"/>
    <w:rsid w:val="461E5780"/>
    <w:rsid w:val="46662B7B"/>
    <w:rsid w:val="480E46C6"/>
    <w:rsid w:val="49044B3B"/>
    <w:rsid w:val="49A312B9"/>
    <w:rsid w:val="4AF86C03"/>
    <w:rsid w:val="4B0F146D"/>
    <w:rsid w:val="4D2C327D"/>
    <w:rsid w:val="4DD833AF"/>
    <w:rsid w:val="4F236D89"/>
    <w:rsid w:val="503B1B23"/>
    <w:rsid w:val="5167385A"/>
    <w:rsid w:val="517B3C66"/>
    <w:rsid w:val="51B742AA"/>
    <w:rsid w:val="526A1560"/>
    <w:rsid w:val="52B00F31"/>
    <w:rsid w:val="5345206F"/>
    <w:rsid w:val="53753B43"/>
    <w:rsid w:val="545D3C7D"/>
    <w:rsid w:val="5550632A"/>
    <w:rsid w:val="55906596"/>
    <w:rsid w:val="568208E6"/>
    <w:rsid w:val="569B4648"/>
    <w:rsid w:val="589B4B4E"/>
    <w:rsid w:val="5A6307B9"/>
    <w:rsid w:val="5B470F2A"/>
    <w:rsid w:val="5B6C4CAB"/>
    <w:rsid w:val="5C6F5EBA"/>
    <w:rsid w:val="5CA8323D"/>
    <w:rsid w:val="5E454255"/>
    <w:rsid w:val="5E5533D8"/>
    <w:rsid w:val="5F11069E"/>
    <w:rsid w:val="614A0443"/>
    <w:rsid w:val="63E344E6"/>
    <w:rsid w:val="658E1FB1"/>
    <w:rsid w:val="660D0B7F"/>
    <w:rsid w:val="66683C40"/>
    <w:rsid w:val="675A324C"/>
    <w:rsid w:val="69946A1F"/>
    <w:rsid w:val="6BEF63AD"/>
    <w:rsid w:val="6BF62192"/>
    <w:rsid w:val="6C2575E3"/>
    <w:rsid w:val="6C3E411F"/>
    <w:rsid w:val="6D486F7B"/>
    <w:rsid w:val="6D97519E"/>
    <w:rsid w:val="6E017444"/>
    <w:rsid w:val="6E3A4A98"/>
    <w:rsid w:val="6E5F1FA3"/>
    <w:rsid w:val="6E757055"/>
    <w:rsid w:val="71477F81"/>
    <w:rsid w:val="716056B1"/>
    <w:rsid w:val="719421D1"/>
    <w:rsid w:val="726F2DB7"/>
    <w:rsid w:val="72E162A6"/>
    <w:rsid w:val="73780F7E"/>
    <w:rsid w:val="73F01A78"/>
    <w:rsid w:val="747A619E"/>
    <w:rsid w:val="74F0035A"/>
    <w:rsid w:val="758563B9"/>
    <w:rsid w:val="76E344B1"/>
    <w:rsid w:val="78F46069"/>
    <w:rsid w:val="79EB684D"/>
    <w:rsid w:val="7B4E7FE9"/>
    <w:rsid w:val="7B570ED1"/>
    <w:rsid w:val="7B9A216E"/>
    <w:rsid w:val="7C5C4787"/>
    <w:rsid w:val="7CB2344E"/>
    <w:rsid w:val="7D5C639C"/>
    <w:rsid w:val="7E425E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9"/>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5"/>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5"/>
    <w:qFormat/>
    <w:uiPriority w:val="0"/>
    <w:pPr>
      <w:keepNext/>
      <w:keepLines/>
      <w:numPr>
        <w:ilvl w:val="4"/>
        <w:numId w:val="1"/>
      </w:numPr>
      <w:spacing w:before="280" w:after="290" w:line="372" w:lineRule="auto"/>
      <w:outlineLvl w:val="4"/>
    </w:pPr>
    <w:rPr>
      <w:b/>
      <w:sz w:val="28"/>
    </w:rPr>
  </w:style>
  <w:style w:type="paragraph" w:styleId="8">
    <w:name w:val="heading 6"/>
    <w:basedOn w:val="1"/>
    <w:next w:val="5"/>
    <w:qFormat/>
    <w:uiPriority w:val="0"/>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5"/>
    <w:qFormat/>
    <w:uiPriority w:val="0"/>
    <w:pPr>
      <w:keepNext/>
      <w:keepLines/>
      <w:numPr>
        <w:ilvl w:val="6"/>
        <w:numId w:val="1"/>
      </w:numPr>
      <w:spacing w:before="240" w:after="64" w:line="317" w:lineRule="auto"/>
      <w:outlineLvl w:val="6"/>
    </w:pPr>
    <w:rPr>
      <w:b/>
      <w:sz w:val="24"/>
    </w:rPr>
  </w:style>
  <w:style w:type="paragraph" w:styleId="10">
    <w:name w:val="heading 8"/>
    <w:basedOn w:val="1"/>
    <w:next w:val="5"/>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5"/>
    <w:qFormat/>
    <w:uiPriority w:val="0"/>
    <w:pPr>
      <w:keepNext/>
      <w:keepLines/>
      <w:numPr>
        <w:ilvl w:val="8"/>
        <w:numId w:val="1"/>
      </w:numPr>
      <w:spacing w:before="240" w:after="64" w:line="317" w:lineRule="auto"/>
      <w:outlineLvl w:val="8"/>
    </w:pPr>
    <w:rPr>
      <w:rFonts w:ascii="Arial" w:hAnsi="Arial" w:eastAsia="黑体"/>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12">
    <w:name w:val="Document Map"/>
    <w:basedOn w:val="1"/>
    <w:qFormat/>
    <w:uiPriority w:val="0"/>
    <w:pPr>
      <w:shd w:val="clear" w:color="auto" w:fill="000080"/>
    </w:pPr>
  </w:style>
  <w:style w:type="paragraph" w:styleId="13">
    <w:name w:val="annotation text"/>
    <w:basedOn w:val="1"/>
    <w:link w:val="46"/>
    <w:qFormat/>
    <w:uiPriority w:val="0"/>
    <w:pPr>
      <w:jc w:val="left"/>
    </w:pPr>
    <w:rPr>
      <w:kern w:val="2"/>
      <w:sz w:val="21"/>
      <w:szCs w:val="24"/>
    </w:rPr>
  </w:style>
  <w:style w:type="paragraph" w:styleId="14">
    <w:name w:val="Body Text 3"/>
    <w:basedOn w:val="1"/>
    <w:qFormat/>
    <w:uiPriority w:val="0"/>
    <w:pPr>
      <w:spacing w:line="500" w:lineRule="exact"/>
    </w:pPr>
    <w:rPr>
      <w:b/>
      <w:bCs/>
      <w:sz w:val="24"/>
    </w:rPr>
  </w:style>
  <w:style w:type="paragraph" w:styleId="15">
    <w:name w:val="Body Text"/>
    <w:basedOn w:val="1"/>
    <w:qFormat/>
    <w:uiPriority w:val="0"/>
    <w:pPr>
      <w:spacing w:after="120"/>
    </w:pPr>
  </w:style>
  <w:style w:type="paragraph" w:styleId="16">
    <w:name w:val="Body Text Indent"/>
    <w:basedOn w:val="1"/>
    <w:qFormat/>
    <w:uiPriority w:val="0"/>
    <w:pPr>
      <w:ind w:firstLine="630"/>
    </w:pPr>
    <w:rPr>
      <w:sz w:val="32"/>
    </w:rPr>
  </w:style>
  <w:style w:type="paragraph" w:styleId="17">
    <w:name w:val="Block Text"/>
    <w:basedOn w:val="1"/>
    <w:qFormat/>
    <w:uiPriority w:val="0"/>
    <w:pPr>
      <w:spacing w:line="400" w:lineRule="exact"/>
      <w:ind w:left="-359" w:leftChars="-171" w:right="-687" w:rightChars="-327" w:firstLine="720"/>
    </w:pPr>
    <w:rPr>
      <w:rFonts w:hAnsi="宋体"/>
      <w:sz w:val="28"/>
    </w:rPr>
  </w:style>
  <w:style w:type="paragraph" w:styleId="18">
    <w:name w:val="Plain Text"/>
    <w:basedOn w:val="1"/>
    <w:link w:val="88"/>
    <w:qFormat/>
    <w:uiPriority w:val="0"/>
    <w:rPr>
      <w:rFonts w:hAnsi="Courier New" w:cs="Courier New"/>
      <w:szCs w:val="21"/>
    </w:rPr>
  </w:style>
  <w:style w:type="paragraph" w:styleId="19">
    <w:name w:val="Date"/>
    <w:basedOn w:val="1"/>
    <w:next w:val="1"/>
    <w:qFormat/>
    <w:uiPriority w:val="0"/>
    <w:rPr>
      <w:rFonts w:eastAsia="黑体"/>
      <w:sz w:val="36"/>
    </w:rPr>
  </w:style>
  <w:style w:type="paragraph" w:styleId="20">
    <w:name w:val="Body Text Indent 2"/>
    <w:basedOn w:val="1"/>
    <w:qFormat/>
    <w:uiPriority w:val="0"/>
    <w:pPr>
      <w:ind w:firstLine="630"/>
    </w:pPr>
    <w:rPr>
      <w:sz w:val="32"/>
    </w:rPr>
  </w:style>
  <w:style w:type="paragraph" w:styleId="21">
    <w:name w:val="Balloon Text"/>
    <w:basedOn w:val="1"/>
    <w:link w:val="50"/>
    <w:qFormat/>
    <w:uiPriority w:val="0"/>
    <w:rPr>
      <w:kern w:val="2"/>
      <w:sz w:val="18"/>
      <w:szCs w:val="18"/>
    </w:rPr>
  </w:style>
  <w:style w:type="paragraph" w:styleId="22">
    <w:name w:val="footer"/>
    <w:basedOn w:val="1"/>
    <w:qFormat/>
    <w:uiPriority w:val="0"/>
    <w:pPr>
      <w:tabs>
        <w:tab w:val="center" w:pos="4153"/>
        <w:tab w:val="right" w:pos="8306"/>
      </w:tabs>
      <w:snapToGrid w:val="0"/>
      <w:jc w:val="left"/>
    </w:pPr>
    <w:rPr>
      <w:sz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rPr>
  </w:style>
  <w:style w:type="paragraph" w:styleId="24">
    <w:name w:val="toc 1"/>
    <w:basedOn w:val="1"/>
    <w:next w:val="1"/>
    <w:qFormat/>
    <w:uiPriority w:val="0"/>
  </w:style>
  <w:style w:type="paragraph" w:styleId="25">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26">
    <w:name w:val="Body Text 2"/>
    <w:basedOn w:val="1"/>
    <w:qFormat/>
    <w:uiPriority w:val="0"/>
    <w:pPr>
      <w:spacing w:after="120" w:line="480" w:lineRule="auto"/>
    </w:pPr>
  </w:style>
  <w:style w:type="paragraph" w:styleId="27">
    <w:name w:val="Normal (Web)"/>
    <w:basedOn w:val="1"/>
    <w:qFormat/>
    <w:uiPriority w:val="0"/>
    <w:pPr>
      <w:widowControl/>
      <w:spacing w:before="100" w:beforeAutospacing="1" w:after="100" w:afterAutospacing="1"/>
      <w:jc w:val="left"/>
    </w:pPr>
    <w:rPr>
      <w:rFonts w:hAnsi="宋体"/>
      <w:sz w:val="18"/>
      <w:szCs w:val="18"/>
    </w:rPr>
  </w:style>
  <w:style w:type="paragraph" w:styleId="28">
    <w:name w:val="Title"/>
    <w:basedOn w:val="1"/>
    <w:next w:val="1"/>
    <w:link w:val="52"/>
    <w:qFormat/>
    <w:uiPriority w:val="99"/>
    <w:pPr>
      <w:spacing w:before="240" w:after="60"/>
      <w:jc w:val="center"/>
      <w:outlineLvl w:val="0"/>
    </w:pPr>
    <w:rPr>
      <w:rFonts w:ascii="Cambria" w:hAnsi="Cambria"/>
      <w:b/>
      <w:bCs/>
      <w:sz w:val="32"/>
      <w:szCs w:val="32"/>
    </w:rPr>
  </w:style>
  <w:style w:type="paragraph" w:styleId="29">
    <w:name w:val="annotation subject"/>
    <w:basedOn w:val="13"/>
    <w:next w:val="13"/>
    <w:link w:val="45"/>
    <w:qFormat/>
    <w:uiPriority w:val="0"/>
    <w:rPr>
      <w:b/>
      <w:bCs/>
    </w:rPr>
  </w:style>
  <w:style w:type="paragraph" w:styleId="30">
    <w:name w:val="Body Text First Indent"/>
    <w:basedOn w:val="15"/>
    <w:qFormat/>
    <w:uiPriority w:val="0"/>
    <w:pPr>
      <w:ind w:firstLine="420" w:firstLineChars="100"/>
    </w:pPr>
  </w:style>
  <w:style w:type="table" w:styleId="32">
    <w:name w:val="Table Grid"/>
    <w:basedOn w:val="31"/>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qFormat/>
    <w:uiPriority w:val="0"/>
    <w:rPr>
      <w:color w:val="800080"/>
      <w:u w:val="single"/>
    </w:rPr>
  </w:style>
  <w:style w:type="character" w:styleId="36">
    <w:name w:val="Hyperlink"/>
    <w:qFormat/>
    <w:uiPriority w:val="99"/>
    <w:rPr>
      <w:color w:val="0000FF"/>
      <w:u w:val="single"/>
    </w:rPr>
  </w:style>
  <w:style w:type="character" w:styleId="37">
    <w:name w:val="annotation reference"/>
    <w:qFormat/>
    <w:uiPriority w:val="0"/>
    <w:rPr>
      <w:sz w:val="21"/>
    </w:rPr>
  </w:style>
  <w:style w:type="character" w:customStyle="1" w:styleId="38">
    <w:name w:val="unnamed31"/>
    <w:qFormat/>
    <w:uiPriority w:val="0"/>
    <w:rPr>
      <w:sz w:val="22"/>
      <w:szCs w:val="22"/>
    </w:rPr>
  </w:style>
  <w:style w:type="character" w:customStyle="1" w:styleId="39">
    <w:name w:val="标题 Char1"/>
    <w:qFormat/>
    <w:uiPriority w:val="0"/>
    <w:rPr>
      <w:rFonts w:ascii="Cambria" w:hAnsi="Cambria" w:cs="Times New Roman"/>
      <w:b/>
      <w:bCs/>
      <w:kern w:val="2"/>
      <w:sz w:val="32"/>
      <w:szCs w:val="32"/>
    </w:rPr>
  </w:style>
  <w:style w:type="character" w:customStyle="1" w:styleId="40">
    <w:name w:val="font111"/>
    <w:qFormat/>
    <w:uiPriority w:val="0"/>
    <w:rPr>
      <w:rFonts w:hint="default" w:ascii="Eʩ" w:hAnsi="Eʩ" w:eastAsia="Eʩ" w:cs="Eʩ"/>
      <w:color w:val="000000"/>
      <w:sz w:val="21"/>
      <w:szCs w:val="21"/>
      <w:u w:val="single"/>
    </w:rPr>
  </w:style>
  <w:style w:type="character" w:customStyle="1" w:styleId="41">
    <w:name w:val="font31"/>
    <w:qFormat/>
    <w:uiPriority w:val="0"/>
    <w:rPr>
      <w:rFonts w:hint="eastAsia" w:ascii="宋体" w:hAnsi="宋体" w:eastAsia="宋体" w:cs="宋体"/>
      <w:color w:val="000000"/>
      <w:sz w:val="21"/>
      <w:szCs w:val="21"/>
      <w:u w:val="none"/>
    </w:rPr>
  </w:style>
  <w:style w:type="character" w:customStyle="1" w:styleId="42">
    <w:name w:val="Char Char Char"/>
    <w:qFormat/>
    <w:uiPriority w:val="0"/>
    <w:rPr>
      <w:rFonts w:eastAsia="宋体"/>
      <w:b/>
      <w:kern w:val="2"/>
      <w:sz w:val="32"/>
      <w:lang w:val="en-US" w:eastAsia="zh-CN" w:bidi="ar-SA"/>
    </w:rPr>
  </w:style>
  <w:style w:type="character" w:customStyle="1" w:styleId="43">
    <w:name w:val="font101"/>
    <w:qFormat/>
    <w:uiPriority w:val="0"/>
    <w:rPr>
      <w:rFonts w:hint="eastAsia" w:ascii="宋体" w:hAnsi="宋体" w:eastAsia="宋体" w:cs="宋体"/>
      <w:color w:val="000000"/>
      <w:sz w:val="21"/>
      <w:szCs w:val="21"/>
      <w:u w:val="single"/>
    </w:rPr>
  </w:style>
  <w:style w:type="character" w:customStyle="1" w:styleId="44">
    <w:name w:val="textnorm_chn1"/>
    <w:qFormat/>
    <w:uiPriority w:val="0"/>
    <w:rPr>
      <w:rFonts w:hint="default" w:ascii="Arial" w:hAnsi="Arial" w:cs="Arial"/>
      <w:color w:val="21254A"/>
      <w:sz w:val="22"/>
      <w:szCs w:val="22"/>
    </w:rPr>
  </w:style>
  <w:style w:type="character" w:customStyle="1" w:styleId="45">
    <w:name w:val="批注主题 Char"/>
    <w:link w:val="29"/>
    <w:qFormat/>
    <w:uiPriority w:val="0"/>
    <w:rPr>
      <w:b/>
      <w:bCs/>
      <w:kern w:val="2"/>
      <w:sz w:val="21"/>
      <w:szCs w:val="24"/>
    </w:rPr>
  </w:style>
  <w:style w:type="character" w:customStyle="1" w:styleId="46">
    <w:name w:val="批注文字 Char"/>
    <w:link w:val="13"/>
    <w:qFormat/>
    <w:uiPriority w:val="0"/>
    <w:rPr>
      <w:kern w:val="2"/>
      <w:sz w:val="21"/>
      <w:szCs w:val="24"/>
    </w:rPr>
  </w:style>
  <w:style w:type="character" w:customStyle="1" w:styleId="47">
    <w:name w:val="font91"/>
    <w:qFormat/>
    <w:uiPriority w:val="0"/>
    <w:rPr>
      <w:rFonts w:hint="eastAsia" w:ascii="宋体" w:hAnsi="宋体" w:eastAsia="宋体" w:cs="宋体"/>
      <w:color w:val="FF0000"/>
      <w:sz w:val="21"/>
      <w:szCs w:val="21"/>
      <w:u w:val="single"/>
    </w:rPr>
  </w:style>
  <w:style w:type="character" w:customStyle="1" w:styleId="48">
    <w:name w:val="正文首行缩进两字符 Char Char"/>
    <w:qFormat/>
    <w:uiPriority w:val="0"/>
    <w:rPr>
      <w:rFonts w:eastAsia="宋体"/>
      <w:kern w:val="2"/>
      <w:sz w:val="21"/>
      <w:szCs w:val="24"/>
      <w:lang w:val="en-US" w:eastAsia="zh-CN" w:bidi="ar-SA"/>
    </w:rPr>
  </w:style>
  <w:style w:type="character" w:customStyle="1" w:styleId="49">
    <w:name w:val="标题 2 Char"/>
    <w:link w:val="3"/>
    <w:qFormat/>
    <w:uiPriority w:val="0"/>
    <w:rPr>
      <w:rFonts w:ascii="Arial" w:hAnsi="Arial" w:eastAsia="黑体"/>
      <w:b/>
      <w:bCs/>
      <w:kern w:val="2"/>
      <w:sz w:val="32"/>
      <w:szCs w:val="32"/>
    </w:rPr>
  </w:style>
  <w:style w:type="character" w:customStyle="1" w:styleId="50">
    <w:name w:val="批注框文本 Char"/>
    <w:link w:val="21"/>
    <w:qFormat/>
    <w:uiPriority w:val="0"/>
    <w:rPr>
      <w:kern w:val="2"/>
      <w:sz w:val="18"/>
      <w:szCs w:val="18"/>
    </w:rPr>
  </w:style>
  <w:style w:type="character" w:customStyle="1" w:styleId="51">
    <w:name w:val="标题 3 Char Char Char"/>
    <w:qFormat/>
    <w:uiPriority w:val="0"/>
    <w:rPr>
      <w:rFonts w:eastAsia="宋体"/>
      <w:b/>
      <w:kern w:val="2"/>
      <w:sz w:val="32"/>
      <w:lang w:val="en-US" w:eastAsia="zh-CN" w:bidi="ar-SA"/>
    </w:rPr>
  </w:style>
  <w:style w:type="character" w:customStyle="1" w:styleId="52">
    <w:name w:val="标题 Char"/>
    <w:link w:val="28"/>
    <w:qFormat/>
    <w:uiPriority w:val="99"/>
    <w:rPr>
      <w:rFonts w:ascii="Cambria" w:hAnsi="Cambria"/>
      <w:b/>
      <w:bCs/>
      <w:sz w:val="32"/>
      <w:szCs w:val="32"/>
    </w:rPr>
  </w:style>
  <w:style w:type="paragraph" w:customStyle="1" w:styleId="53">
    <w:name w:val="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54">
    <w:name w:val="正文 New"/>
    <w:qFormat/>
    <w:uiPriority w:val="0"/>
    <w:pPr>
      <w:widowControl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5">
    <w:name w:val="Char Char1 Char Char Char Char"/>
    <w:basedOn w:val="1"/>
    <w:qFormat/>
    <w:uiPriority w:val="0"/>
  </w:style>
  <w:style w:type="paragraph" w:customStyle="1" w:styleId="56">
    <w:name w:val="Char1"/>
    <w:basedOn w:val="1"/>
    <w:qFormat/>
    <w:uiPriority w:val="0"/>
    <w:rPr>
      <w:rFonts w:ascii="仿宋_GB2312" w:eastAsia="仿宋_GB2312"/>
      <w:b/>
      <w:sz w:val="32"/>
      <w:szCs w:val="32"/>
    </w:rPr>
  </w:style>
  <w:style w:type="paragraph" w:customStyle="1" w:styleId="57">
    <w:name w:val="纯文本1"/>
    <w:basedOn w:val="1"/>
    <w:qFormat/>
    <w:uiPriority w:val="0"/>
    <w:pPr>
      <w:adjustRightInd w:val="0"/>
      <w:textAlignment w:val="baseline"/>
    </w:pPr>
    <w:rPr>
      <w:rFonts w:hAnsi="Courier New"/>
    </w:rPr>
  </w:style>
  <w:style w:type="paragraph" w:customStyle="1" w:styleId="58">
    <w:name w:val="样式1"/>
    <w:basedOn w:val="1"/>
    <w:qFormat/>
    <w:uiPriority w:val="0"/>
    <w:pPr>
      <w:adjustRightInd w:val="0"/>
      <w:spacing w:line="420" w:lineRule="auto"/>
      <w:jc w:val="center"/>
      <w:textAlignment w:val="baseline"/>
    </w:pPr>
    <w:rPr>
      <w:sz w:val="24"/>
    </w:rPr>
  </w:style>
  <w:style w:type="paragraph" w:styleId="59">
    <w:name w:val="List Paragraph"/>
    <w:basedOn w:val="1"/>
    <w:qFormat/>
    <w:uiPriority w:val="34"/>
    <w:pPr>
      <w:ind w:firstLine="420" w:firstLineChars="200"/>
    </w:pPr>
  </w:style>
  <w:style w:type="paragraph" w:customStyle="1" w:styleId="60">
    <w:name w:val="Table Text"/>
    <w:basedOn w:val="1"/>
    <w:qFormat/>
    <w:uiPriority w:val="0"/>
    <w:pPr>
      <w:widowControl/>
      <w:spacing w:before="60" w:after="60"/>
      <w:jc w:val="left"/>
    </w:pPr>
  </w:style>
  <w:style w:type="paragraph" w:customStyle="1" w:styleId="61">
    <w:name w:val="正文文本 21"/>
    <w:basedOn w:val="1"/>
    <w:qFormat/>
    <w:uiPriority w:val="0"/>
    <w:pPr>
      <w:adjustRightInd w:val="0"/>
      <w:spacing w:line="300" w:lineRule="auto"/>
      <w:jc w:val="center"/>
      <w:textAlignment w:val="baseline"/>
    </w:pPr>
    <w:rPr>
      <w:rFonts w:hAnsi="宋体"/>
      <w:sz w:val="24"/>
    </w:rPr>
  </w:style>
  <w:style w:type="paragraph" w:customStyle="1" w:styleId="6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Char2"/>
    <w:basedOn w:val="1"/>
    <w:qFormat/>
    <w:uiPriority w:val="0"/>
  </w:style>
  <w:style w:type="paragraph" w:customStyle="1" w:styleId="64">
    <w:name w:val="正文首行缩进两字符"/>
    <w:basedOn w:val="1"/>
    <w:qFormat/>
    <w:uiPriority w:val="0"/>
    <w:pPr>
      <w:spacing w:line="360" w:lineRule="auto"/>
      <w:ind w:firstLine="200" w:firstLineChars="200"/>
    </w:pPr>
  </w:style>
  <w:style w:type="paragraph" w:customStyle="1" w:styleId="65">
    <w:name w:val="Char Char Char 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66">
    <w:name w:val="样式 首行缩进:  2 字符"/>
    <w:basedOn w:val="1"/>
    <w:qFormat/>
    <w:uiPriority w:val="0"/>
    <w:pPr>
      <w:spacing w:line="400" w:lineRule="exact"/>
      <w:ind w:firstLine="200" w:firstLineChars="200"/>
    </w:pPr>
    <w:rPr>
      <w:rFonts w:cs="宋体"/>
      <w:sz w:val="24"/>
    </w:rPr>
  </w:style>
  <w:style w:type="paragraph" w:customStyle="1" w:styleId="67">
    <w:name w:val="Char Char1 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68">
    <w:name w:val="默认段落字体 Para Char Char Char Char Char Char Char Char Char1 Char Char Char Char"/>
    <w:basedOn w:val="1"/>
    <w:qFormat/>
    <w:uiPriority w:val="0"/>
    <w:rPr>
      <w:rFonts w:ascii="Tahoma" w:hAnsi="Tahoma"/>
      <w:sz w:val="24"/>
    </w:rPr>
  </w:style>
  <w:style w:type="paragraph" w:customStyle="1" w:styleId="69">
    <w:name w:val="plaintext"/>
    <w:basedOn w:val="1"/>
    <w:qFormat/>
    <w:uiPriority w:val="0"/>
    <w:pPr>
      <w:widowControl/>
      <w:spacing w:before="100" w:beforeAutospacing="1" w:after="100" w:afterAutospacing="1"/>
      <w:jc w:val="left"/>
    </w:pPr>
    <w:rPr>
      <w:rFonts w:hAnsi="宋体"/>
      <w:sz w:val="24"/>
    </w:rPr>
  </w:style>
  <w:style w:type="paragraph" w:customStyle="1" w:styleId="70">
    <w:name w:val="table head"/>
    <w:basedOn w:val="1"/>
    <w:qFormat/>
    <w:uiPriority w:val="0"/>
    <w:pPr>
      <w:keepNext/>
      <w:keepLines/>
      <w:adjustRightInd w:val="0"/>
      <w:spacing w:line="312" w:lineRule="atLeast"/>
      <w:jc w:val="center"/>
      <w:textAlignment w:val="baseline"/>
    </w:pPr>
    <w:rPr>
      <w:b/>
    </w:rPr>
  </w:style>
  <w:style w:type="paragraph" w:customStyle="1" w:styleId="71">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72">
    <w:name w:val="修订1"/>
    <w:qFormat/>
    <w:uiPriority w:val="0"/>
    <w:rPr>
      <w:rFonts w:ascii="Times New Roman" w:hAnsi="Times New Roman" w:eastAsia="宋体" w:cs="Times New Roman"/>
      <w:kern w:val="2"/>
      <w:sz w:val="21"/>
      <w:szCs w:val="24"/>
      <w:lang w:val="en-US" w:eastAsia="zh-CN" w:bidi="ar-SA"/>
    </w:rPr>
  </w:style>
  <w:style w:type="paragraph" w:customStyle="1" w:styleId="73">
    <w:name w:val="Char2 Char Char Char"/>
    <w:basedOn w:val="1"/>
    <w:qFormat/>
    <w:uiPriority w:val="0"/>
    <w:rPr>
      <w:rFonts w:ascii="仿宋_GB2312" w:eastAsia="仿宋_GB2312"/>
      <w:b/>
      <w:sz w:val="32"/>
      <w:szCs w:val="32"/>
    </w:rPr>
  </w:style>
  <w:style w:type="paragraph" w:customStyle="1" w:styleId="7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5">
    <w:name w:val="表格"/>
    <w:basedOn w:val="1"/>
    <w:qFormat/>
    <w:uiPriority w:val="0"/>
    <w:pPr>
      <w:spacing w:line="400" w:lineRule="exact"/>
    </w:pPr>
    <w:rPr>
      <w:sz w:val="24"/>
    </w:rPr>
  </w:style>
  <w:style w:type="paragraph" w:customStyle="1" w:styleId="7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7">
    <w:name w:val="Char Char Char Char Char Char1 Char"/>
    <w:basedOn w:val="12"/>
    <w:qFormat/>
    <w:uiPriority w:val="0"/>
    <w:rPr>
      <w:rFonts w:ascii="Tahoma" w:hAnsi="Tahoma"/>
      <w:sz w:val="24"/>
      <w:szCs w:val="24"/>
    </w:rPr>
  </w:style>
  <w:style w:type="paragraph" w:customStyle="1" w:styleId="78">
    <w:name w:val="Char11"/>
    <w:basedOn w:val="1"/>
    <w:qFormat/>
    <w:uiPriority w:val="0"/>
    <w:rPr>
      <w:szCs w:val="21"/>
    </w:rPr>
  </w:style>
  <w:style w:type="paragraph" w:customStyle="1" w:styleId="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81">
    <w:name w:val="正文缩进1"/>
    <w:basedOn w:val="1"/>
    <w:next w:val="1"/>
    <w:qFormat/>
    <w:uiPriority w:val="0"/>
    <w:pPr>
      <w:widowControl/>
      <w:ind w:firstLine="420"/>
    </w:pPr>
    <w:rPr>
      <w:color w:val="000000"/>
    </w:rPr>
  </w:style>
  <w:style w:type="paragraph" w:customStyle="1" w:styleId="82">
    <w:name w:val="Char Char Char Char Char Char"/>
    <w:basedOn w:val="1"/>
    <w:qFormat/>
    <w:uiPriority w:val="0"/>
    <w:rPr>
      <w:rFonts w:ascii="Tahoma" w:hAnsi="Tahoma"/>
      <w:sz w:val="24"/>
    </w:rPr>
  </w:style>
  <w:style w:type="paragraph" w:customStyle="1" w:styleId="83">
    <w:name w:val="正文2"/>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84">
    <w:name w:val="正文1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85">
    <w:name w:val="列出段落2"/>
    <w:basedOn w:val="1"/>
    <w:qFormat/>
    <w:uiPriority w:val="99"/>
    <w:pPr>
      <w:ind w:firstLine="420" w:firstLineChars="200"/>
    </w:pPr>
    <w:rPr>
      <w:szCs w:val="21"/>
    </w:rPr>
  </w:style>
  <w:style w:type="paragraph" w:customStyle="1" w:styleId="86">
    <w:name w:val="修订2"/>
    <w:hidden/>
    <w:unhideWhenUsed/>
    <w:qFormat/>
    <w:uiPriority w:val="99"/>
    <w:rPr>
      <w:rFonts w:ascii="宋体" w:hAnsi="Times New Roman" w:eastAsia="宋体" w:cs="Times New Roman"/>
      <w:sz w:val="34"/>
      <w:lang w:val="en-US" w:eastAsia="zh-CN" w:bidi="ar-SA"/>
    </w:rPr>
  </w:style>
  <w:style w:type="paragraph" w:customStyle="1" w:styleId="87">
    <w:name w:val="Table Paragraph"/>
    <w:basedOn w:val="1"/>
    <w:qFormat/>
    <w:uiPriority w:val="1"/>
    <w:rPr>
      <w:rFonts w:ascii="等线" w:hAnsi="等线" w:eastAsia="等线" w:cs="等线"/>
      <w:lang w:val="zh-CN" w:bidi="zh-CN"/>
    </w:rPr>
  </w:style>
  <w:style w:type="character" w:customStyle="1" w:styleId="88">
    <w:name w:val="纯文本 Char"/>
    <w:link w:val="18"/>
    <w:qFormat/>
    <w:uiPriority w:val="0"/>
    <w:rPr>
      <w:rFonts w:ascii="宋体" w:hAnsi="Courier New" w:cs="Courier New"/>
      <w:sz w:val="34"/>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Exts>
</s:customDat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4.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5.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21D5BD-4632-4329-A967-D11B6EFCD27E}">
  <ds:schemaRefs/>
</ds:datastoreItem>
</file>

<file path=customXml/itemProps3.xml><?xml version="1.0" encoding="utf-8"?>
<ds:datastoreItem xmlns:ds="http://schemas.openxmlformats.org/officeDocument/2006/customXml" ds:itemID="{AC6E8A58-0230-4D0D-BD2A-E4813B5C52CE}">
  <ds:schemaRefs/>
</ds:datastoreItem>
</file>

<file path=customXml/itemProps4.xml><?xml version="1.0" encoding="utf-8"?>
<ds:datastoreItem xmlns:ds="http://schemas.openxmlformats.org/officeDocument/2006/customXml" ds:itemID="{5C660A19-0884-4398-8FEF-CBDD215CE83A}">
  <ds:schemaRefs/>
</ds:datastoreItem>
</file>

<file path=customXml/itemProps5.xml><?xml version="1.0" encoding="utf-8"?>
<ds:datastoreItem xmlns:ds="http://schemas.openxmlformats.org/officeDocument/2006/customXml" ds:itemID="{3C06862B-E93D-4F7A-B757-29B6E7FCCFB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35</Pages>
  <Words>2421</Words>
  <Characters>13800</Characters>
  <Lines>115</Lines>
  <Paragraphs>32</Paragraphs>
  <TotalTime>18</TotalTime>
  <ScaleCrop>false</ScaleCrop>
  <LinksUpToDate>false</LinksUpToDate>
  <CharactersWithSpaces>16189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2020-09-02T07:15:00Z</dcterms:created>
  <dc:creator>USER</dc:creator>
  <cp:lastModifiedBy>goyong</cp:lastModifiedBy>
  <cp:lastPrinted>2012-08-20T02:39:00Z</cp:lastPrinted>
  <dcterms:modified xsi:type="dcterms:W3CDTF">2022-12-20T01:24:16Z</dcterms:modified>
  <dc:title>省财政厅关于印发四川省政府采购通用货物和服务招标文件范本的通知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98F79D82DF114012B3936BBCD48E83D8</vt:lpwstr>
  </property>
</Properties>
</file>